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526C66F" w14:textId="13E8B80D" w:rsidR="00E677F3" w:rsidRPr="00855FAC" w:rsidRDefault="007A1521" w:rsidP="00855FAC">
      <w:pPr>
        <w:pStyle w:val="Heading3"/>
        <w:rPr>
          <w:color w:val="008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AF8834" wp14:editId="2CB0C0FF">
                <wp:simplePos x="0" y="0"/>
                <wp:positionH relativeFrom="column">
                  <wp:posOffset>8032115</wp:posOffset>
                </wp:positionH>
                <wp:positionV relativeFrom="paragraph">
                  <wp:posOffset>-342900</wp:posOffset>
                </wp:positionV>
                <wp:extent cx="1257300" cy="457200"/>
                <wp:effectExtent l="2540" t="190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090AC8" w14:textId="77777777" w:rsidR="00E677F3" w:rsidRPr="00B72664" w:rsidRDefault="00E677F3" w:rsidP="00B72664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B72664">
                              <w:rPr>
                                <w:bCs/>
                              </w:rPr>
                              <w:t>APPENDIX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EAF88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2.45pt;margin-top:-27pt;width:9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" stroked="f">
                <v:textbox>
                  <w:txbxContent>
                    <w:p w14:paraId="3F090AC8" w14:textId="77777777" w:rsidR="00E677F3" w:rsidRPr="00B72664" w:rsidRDefault="00E677F3" w:rsidP="00B72664">
                      <w:pPr>
                        <w:jc w:val="right"/>
                        <w:rPr>
                          <w:b/>
                        </w:rPr>
                      </w:pPr>
                      <w:r w:rsidRPr="00B72664">
                        <w:rPr>
                          <w:bCs/>
                        </w:rPr>
                        <w:t>APPENDIX A</w:t>
                      </w:r>
                    </w:p>
                  </w:txbxContent>
                </v:textbox>
              </v:shape>
            </w:pict>
          </mc:Fallback>
        </mc:AlternateContent>
      </w:r>
      <w:r w:rsidR="00E677F3" w:rsidRPr="00855FAC">
        <w:rPr>
          <w:sz w:val="28"/>
          <w:szCs w:val="28"/>
        </w:rPr>
        <w:t>Equality Impact Assessment- Screening</w:t>
      </w:r>
    </w:p>
    <w:p w14:paraId="1B977149" w14:textId="77777777" w:rsidR="00E677F3" w:rsidRDefault="00E677F3" w:rsidP="00855FAC">
      <w:r>
        <w:t>An EIA is a way of finding out if:</w:t>
      </w:r>
    </w:p>
    <w:p w14:paraId="1BE1B2A5" w14:textId="77777777" w:rsidR="00E677F3" w:rsidRDefault="00E677F3" w:rsidP="00855FAC">
      <w:pPr>
        <w:numPr>
          <w:ilvl w:val="0"/>
          <w:numId w:val="4"/>
        </w:numPr>
      </w:pPr>
      <w:r>
        <w:t>Our services are accessible to service users and employees.</w:t>
      </w:r>
    </w:p>
    <w:p w14:paraId="3C8F3577" w14:textId="77777777" w:rsidR="00E677F3" w:rsidRDefault="00E677F3" w:rsidP="00855FAC"/>
    <w:p w14:paraId="5D02E1AF" w14:textId="77777777" w:rsidR="00E677F3" w:rsidRDefault="00E677F3" w:rsidP="00855FAC">
      <w:r>
        <w:t>An EIA helps us to make sure that</w:t>
      </w:r>
    </w:p>
    <w:p w14:paraId="5298CD0A" w14:textId="77777777" w:rsidR="00E677F3" w:rsidRDefault="00E677F3" w:rsidP="00855FAC">
      <w:pPr>
        <w:numPr>
          <w:ilvl w:val="0"/>
          <w:numId w:val="4"/>
        </w:numPr>
      </w:pPr>
      <w:r>
        <w:t>Our functions and policies do not have a negative impact or discriminate in any way against any members of our local community.</w:t>
      </w:r>
    </w:p>
    <w:p w14:paraId="4AFEEA00" w14:textId="77777777" w:rsidR="00E677F3" w:rsidRPr="008D440C" w:rsidRDefault="00E677F3" w:rsidP="00855FAC">
      <w:pPr>
        <w:rPr>
          <w:sz w:val="16"/>
          <w:szCs w:val="16"/>
        </w:rPr>
      </w:pPr>
    </w:p>
    <w:tbl>
      <w:tblPr>
        <w:tblW w:w="14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22"/>
        <w:gridCol w:w="2301"/>
        <w:gridCol w:w="2283"/>
        <w:gridCol w:w="3212"/>
        <w:gridCol w:w="1592"/>
      </w:tblGrid>
      <w:tr w:rsidR="00E677F3" w14:paraId="71BBF078" w14:textId="77777777" w:rsidTr="00B72664">
        <w:trPr>
          <w:jc w:val="center"/>
        </w:trPr>
        <w:tc>
          <w:tcPr>
            <w:tcW w:w="5022" w:type="dxa"/>
            <w:shd w:val="clear" w:color="auto" w:fill="99CC00"/>
          </w:tcPr>
          <w:p w14:paraId="3063D506" w14:textId="77777777" w:rsidR="00E677F3" w:rsidRDefault="00E677F3" w:rsidP="00855FAC">
            <w:r>
              <w:t>Name of service or policy being assessed</w:t>
            </w:r>
          </w:p>
          <w:p w14:paraId="00F0048D" w14:textId="77777777" w:rsidR="00E677F3" w:rsidRDefault="00E677F3" w:rsidP="008D440C"/>
        </w:tc>
        <w:tc>
          <w:tcPr>
            <w:tcW w:w="4584" w:type="dxa"/>
            <w:gridSpan w:val="2"/>
          </w:tcPr>
          <w:p w14:paraId="12EB3FA3" w14:textId="7EDADB0F" w:rsidR="00E677F3" w:rsidRPr="00DF61DE" w:rsidRDefault="00B36DC0" w:rsidP="008D440C">
            <w:pPr>
              <w:rPr>
                <w:b/>
              </w:rPr>
            </w:pPr>
            <w:r>
              <w:rPr>
                <w:b/>
              </w:rPr>
              <w:t>Electric Vehicle Charging Report</w:t>
            </w:r>
          </w:p>
        </w:tc>
        <w:tc>
          <w:tcPr>
            <w:tcW w:w="3212" w:type="dxa"/>
            <w:shd w:val="clear" w:color="auto" w:fill="99CC00"/>
          </w:tcPr>
          <w:p w14:paraId="65F4FC59" w14:textId="77777777" w:rsidR="00E677F3" w:rsidRDefault="00E677F3" w:rsidP="008D440C">
            <w:r>
              <w:t>Is this a new or existing service or policy?</w:t>
            </w:r>
          </w:p>
        </w:tc>
        <w:tc>
          <w:tcPr>
            <w:tcW w:w="1592" w:type="dxa"/>
          </w:tcPr>
          <w:p w14:paraId="0281C727" w14:textId="77777777" w:rsidR="00E677F3" w:rsidRDefault="00E677F3" w:rsidP="008D440C"/>
          <w:p w14:paraId="47C1D2AC" w14:textId="182774FE" w:rsidR="00E677F3" w:rsidRDefault="00B36DC0" w:rsidP="008D440C">
            <w:r>
              <w:t>New</w:t>
            </w:r>
          </w:p>
        </w:tc>
      </w:tr>
      <w:tr w:rsidR="00E677F3" w14:paraId="543595DB" w14:textId="77777777" w:rsidTr="00B72664">
        <w:trPr>
          <w:jc w:val="center"/>
        </w:trPr>
        <w:tc>
          <w:tcPr>
            <w:tcW w:w="5022" w:type="dxa"/>
            <w:shd w:val="clear" w:color="auto" w:fill="99CC00"/>
          </w:tcPr>
          <w:p w14:paraId="52051039" w14:textId="77777777" w:rsidR="00E677F3" w:rsidRDefault="00E677F3" w:rsidP="00794137">
            <w:r>
              <w:t>Directorate</w:t>
            </w:r>
          </w:p>
          <w:p w14:paraId="274C3273" w14:textId="77777777" w:rsidR="00E677F3" w:rsidRDefault="00E677F3" w:rsidP="008D440C"/>
        </w:tc>
        <w:tc>
          <w:tcPr>
            <w:tcW w:w="9388" w:type="dxa"/>
            <w:gridSpan w:val="4"/>
          </w:tcPr>
          <w:p w14:paraId="31383427" w14:textId="77777777" w:rsidR="00E677F3" w:rsidRDefault="00EA7769" w:rsidP="008D440C">
            <w:r>
              <w:t>EPP</w:t>
            </w:r>
          </w:p>
        </w:tc>
      </w:tr>
      <w:tr w:rsidR="00E677F3" w14:paraId="536CE597" w14:textId="77777777" w:rsidTr="00B72664">
        <w:trPr>
          <w:jc w:val="center"/>
        </w:trPr>
        <w:tc>
          <w:tcPr>
            <w:tcW w:w="5022" w:type="dxa"/>
            <w:shd w:val="clear" w:color="auto" w:fill="99CC00"/>
          </w:tcPr>
          <w:p w14:paraId="26C2DCA9" w14:textId="77777777" w:rsidR="00E677F3" w:rsidRDefault="00E677F3" w:rsidP="00855FAC">
            <w:r>
              <w:t>Officers completing the assessment</w:t>
            </w:r>
          </w:p>
          <w:p w14:paraId="1C97FAAA" w14:textId="77777777" w:rsidR="00E677F3" w:rsidRDefault="00E677F3" w:rsidP="008D440C"/>
        </w:tc>
        <w:tc>
          <w:tcPr>
            <w:tcW w:w="9388" w:type="dxa"/>
            <w:gridSpan w:val="4"/>
          </w:tcPr>
          <w:p w14:paraId="0D78193D" w14:textId="77777777" w:rsidR="00E677F3" w:rsidRDefault="00E677F3" w:rsidP="008D440C">
            <w:r>
              <w:t>Jenny Moreton, Principal Health and Sustainability Officer</w:t>
            </w:r>
          </w:p>
        </w:tc>
      </w:tr>
      <w:tr w:rsidR="00E677F3" w14:paraId="4E48003C" w14:textId="77777777" w:rsidTr="00B72664">
        <w:trPr>
          <w:jc w:val="center"/>
        </w:trPr>
        <w:tc>
          <w:tcPr>
            <w:tcW w:w="5022" w:type="dxa"/>
            <w:shd w:val="clear" w:color="auto" w:fill="99CC00"/>
          </w:tcPr>
          <w:p w14:paraId="13B0C70C" w14:textId="77777777" w:rsidR="00E677F3" w:rsidRDefault="00E677F3" w:rsidP="00855FAC">
            <w:r>
              <w:t xml:space="preserve">Date </w:t>
            </w:r>
          </w:p>
          <w:p w14:paraId="7FD0CE21" w14:textId="77777777" w:rsidR="00E677F3" w:rsidRDefault="00E677F3" w:rsidP="008D440C"/>
        </w:tc>
        <w:tc>
          <w:tcPr>
            <w:tcW w:w="9388" w:type="dxa"/>
            <w:gridSpan w:val="4"/>
          </w:tcPr>
          <w:p w14:paraId="0880BFBA" w14:textId="34B2BA7B" w:rsidR="00E677F3" w:rsidRDefault="00B36DC0" w:rsidP="008D440C">
            <w:r>
              <w:t>13 October 2021</w:t>
            </w:r>
          </w:p>
        </w:tc>
      </w:tr>
      <w:tr w:rsidR="00E677F3" w14:paraId="6A056CAD" w14:textId="77777777" w:rsidTr="00B72664">
        <w:trPr>
          <w:jc w:val="center"/>
        </w:trPr>
        <w:tc>
          <w:tcPr>
            <w:tcW w:w="5022" w:type="dxa"/>
            <w:shd w:val="clear" w:color="auto" w:fill="D9D9D9"/>
          </w:tcPr>
          <w:p w14:paraId="3B3DEA72" w14:textId="77777777" w:rsidR="00E677F3" w:rsidRDefault="00E677F3" w:rsidP="00855FAC">
            <w:r>
              <w:t>What is the purpose? What are the outcomes?</w:t>
            </w:r>
          </w:p>
          <w:p w14:paraId="5157D96D" w14:textId="77777777" w:rsidR="00E677F3" w:rsidRDefault="00E677F3" w:rsidP="008D440C"/>
        </w:tc>
        <w:tc>
          <w:tcPr>
            <w:tcW w:w="9388" w:type="dxa"/>
            <w:gridSpan w:val="4"/>
          </w:tcPr>
          <w:p w14:paraId="323D0569" w14:textId="4389018E" w:rsidR="00E677F3" w:rsidRDefault="00E677F3" w:rsidP="00E3501B">
            <w:r>
              <w:t xml:space="preserve">To </w:t>
            </w:r>
            <w:r w:rsidR="00AE5C5A">
              <w:t xml:space="preserve">put electric vehicle charging infrastructure in place in appropriate, publicly accessible WFDC owned sites. To address a gap in current service provision as petrol and diesel vehicles are phased out and contribute to efforts to reduce carbon emissions and improve air quality. </w:t>
            </w:r>
          </w:p>
        </w:tc>
      </w:tr>
      <w:tr w:rsidR="00E677F3" w14:paraId="506F9659" w14:textId="77777777" w:rsidTr="00B72664">
        <w:trPr>
          <w:jc w:val="center"/>
        </w:trPr>
        <w:tc>
          <w:tcPr>
            <w:tcW w:w="5022" w:type="dxa"/>
            <w:shd w:val="clear" w:color="auto" w:fill="D9D9D9"/>
          </w:tcPr>
          <w:p w14:paraId="6D271963" w14:textId="77777777" w:rsidR="00E677F3" w:rsidRDefault="00E677F3" w:rsidP="00855FAC">
            <w:r>
              <w:t>Are there any statutory requirements?</w:t>
            </w:r>
          </w:p>
          <w:p w14:paraId="1005E46D" w14:textId="77777777" w:rsidR="00E677F3" w:rsidRDefault="00E677F3" w:rsidP="008D440C">
            <w:r>
              <w:t xml:space="preserve"> </w:t>
            </w:r>
          </w:p>
        </w:tc>
        <w:tc>
          <w:tcPr>
            <w:tcW w:w="9388" w:type="dxa"/>
            <w:gridSpan w:val="4"/>
          </w:tcPr>
          <w:p w14:paraId="4D18EE02" w14:textId="7E53E118" w:rsidR="00E677F3" w:rsidRDefault="00AE5C5A" w:rsidP="008D440C">
            <w:r>
              <w:t xml:space="preserve">No, although there are </w:t>
            </w:r>
            <w:r w:rsidR="007C34F7">
              <w:t xml:space="preserve">requirements to achieve net zero carbon under the Climate Change Act and to address air quality in specific Air Quality Management Areas. </w:t>
            </w:r>
          </w:p>
        </w:tc>
      </w:tr>
      <w:tr w:rsidR="00E677F3" w14:paraId="7FEBA472" w14:textId="77777777" w:rsidTr="00B72664">
        <w:trPr>
          <w:jc w:val="center"/>
        </w:trPr>
        <w:tc>
          <w:tcPr>
            <w:tcW w:w="5022" w:type="dxa"/>
            <w:shd w:val="clear" w:color="auto" w:fill="D9D9D9"/>
          </w:tcPr>
          <w:p w14:paraId="63E7A314" w14:textId="77777777" w:rsidR="00E677F3" w:rsidRDefault="00E677F3" w:rsidP="008D440C">
            <w:r>
              <w:t>Are there any other organisations/bodies involved in implementation of this service/policy?</w:t>
            </w:r>
          </w:p>
          <w:p w14:paraId="486832CC" w14:textId="77777777" w:rsidR="00E677F3" w:rsidRDefault="00E677F3" w:rsidP="008D440C"/>
        </w:tc>
        <w:tc>
          <w:tcPr>
            <w:tcW w:w="9388" w:type="dxa"/>
            <w:gridSpan w:val="4"/>
          </w:tcPr>
          <w:p w14:paraId="6071919A" w14:textId="0807735D" w:rsidR="00E677F3" w:rsidRDefault="00E677F3" w:rsidP="008D440C">
            <w:r>
              <w:t>Yes</w:t>
            </w:r>
            <w:r w:rsidR="007C34F7">
              <w:t>- will need to procure an external operator.</w:t>
            </w:r>
          </w:p>
        </w:tc>
      </w:tr>
      <w:tr w:rsidR="00E677F3" w14:paraId="35E77C4A" w14:textId="77777777" w:rsidTr="00B72664">
        <w:trPr>
          <w:jc w:val="center"/>
        </w:trPr>
        <w:tc>
          <w:tcPr>
            <w:tcW w:w="5022" w:type="dxa"/>
            <w:shd w:val="clear" w:color="auto" w:fill="D9D9D9"/>
          </w:tcPr>
          <w:p w14:paraId="0E10B203" w14:textId="77777777" w:rsidR="00E677F3" w:rsidRDefault="00E677F3" w:rsidP="008D440C">
            <w:r>
              <w:t>Who are the main customer groups / stakeholders?</w:t>
            </w:r>
          </w:p>
          <w:p w14:paraId="3189D5A9" w14:textId="77777777" w:rsidR="00E677F3" w:rsidRDefault="00E677F3" w:rsidP="008D440C"/>
        </w:tc>
        <w:tc>
          <w:tcPr>
            <w:tcW w:w="9388" w:type="dxa"/>
            <w:gridSpan w:val="4"/>
          </w:tcPr>
          <w:p w14:paraId="0FD6938F" w14:textId="545FE39F" w:rsidR="00E677F3" w:rsidRDefault="00E677F3" w:rsidP="008D440C">
            <w:r>
              <w:t xml:space="preserve">Wyre Forest residents and </w:t>
            </w:r>
            <w:r w:rsidR="00AE5C5A">
              <w:t xml:space="preserve">visitors. </w:t>
            </w:r>
          </w:p>
        </w:tc>
      </w:tr>
      <w:tr w:rsidR="00E677F3" w14:paraId="149640E9" w14:textId="77777777" w:rsidTr="00B72664">
        <w:trPr>
          <w:jc w:val="center"/>
        </w:trPr>
        <w:tc>
          <w:tcPr>
            <w:tcW w:w="5022" w:type="dxa"/>
            <w:shd w:val="clear" w:color="auto" w:fill="D9D9D9"/>
          </w:tcPr>
          <w:p w14:paraId="0C97E439" w14:textId="77777777" w:rsidR="00E677F3" w:rsidRDefault="00E677F3" w:rsidP="008D440C">
            <w:r>
              <w:t>What information are you using?</w:t>
            </w:r>
          </w:p>
          <w:p w14:paraId="3A1B212B" w14:textId="77777777" w:rsidR="00E677F3" w:rsidRDefault="00E677F3" w:rsidP="008D440C"/>
        </w:tc>
        <w:tc>
          <w:tcPr>
            <w:tcW w:w="9388" w:type="dxa"/>
            <w:gridSpan w:val="4"/>
          </w:tcPr>
          <w:p w14:paraId="3DD44CE2" w14:textId="2DCD023B" w:rsidR="00E677F3" w:rsidRDefault="007C34F7" w:rsidP="008D440C">
            <w:r>
              <w:t xml:space="preserve">Feasibility work carried out by specialist independent consultants. </w:t>
            </w:r>
          </w:p>
        </w:tc>
      </w:tr>
      <w:tr w:rsidR="00E677F3" w14:paraId="67C751DE" w14:textId="77777777" w:rsidTr="00B72664">
        <w:trPr>
          <w:jc w:val="center"/>
        </w:trPr>
        <w:tc>
          <w:tcPr>
            <w:tcW w:w="14410" w:type="dxa"/>
            <w:gridSpan w:val="5"/>
            <w:shd w:val="clear" w:color="auto" w:fill="99CC00"/>
          </w:tcPr>
          <w:p w14:paraId="6344F712" w14:textId="77777777" w:rsidR="00E677F3" w:rsidRPr="008D440C" w:rsidRDefault="00E677F3" w:rsidP="008D440C">
            <w:pPr>
              <w:rPr>
                <w:b/>
                <w:bCs/>
              </w:rPr>
            </w:pPr>
            <w:r w:rsidRPr="008D440C">
              <w:rPr>
                <w:b/>
                <w:bCs/>
              </w:rPr>
              <w:t>What impact does the service/policy have on the following equality strands:</w:t>
            </w:r>
          </w:p>
        </w:tc>
      </w:tr>
      <w:tr w:rsidR="00E677F3" w14:paraId="6905E657" w14:textId="77777777" w:rsidTr="00B72664">
        <w:trPr>
          <w:jc w:val="center"/>
        </w:trPr>
        <w:tc>
          <w:tcPr>
            <w:tcW w:w="5022" w:type="dxa"/>
            <w:shd w:val="clear" w:color="auto" w:fill="D9D9D9"/>
          </w:tcPr>
          <w:p w14:paraId="649C93CD" w14:textId="77777777" w:rsidR="00E677F3" w:rsidRDefault="00E677F3" w:rsidP="008D440C">
            <w:pPr>
              <w:ind w:left="426" w:hanging="426"/>
            </w:pPr>
            <w:r>
              <w:rPr>
                <w:b/>
              </w:rPr>
              <w:t>Black and minority ethnic</w:t>
            </w:r>
          </w:p>
          <w:p w14:paraId="65DF1DBA" w14:textId="77777777" w:rsidR="00E677F3" w:rsidRDefault="00E677F3" w:rsidP="00DF405A">
            <w:r>
              <w:t>Impact on different ethnic groups, inc migrant communities and Gypsies/Roma/Travellers</w:t>
            </w:r>
          </w:p>
          <w:p w14:paraId="3B8444E2" w14:textId="77777777" w:rsidR="00E677F3" w:rsidRDefault="00E677F3" w:rsidP="00DF405A"/>
        </w:tc>
        <w:tc>
          <w:tcPr>
            <w:tcW w:w="9388" w:type="dxa"/>
            <w:gridSpan w:val="4"/>
          </w:tcPr>
          <w:p w14:paraId="5C53638C" w14:textId="77777777" w:rsidR="00E677F3" w:rsidRDefault="00E677F3" w:rsidP="008D440C">
            <w:pPr>
              <w:rPr>
                <w:b/>
              </w:rPr>
            </w:pPr>
            <w:r>
              <w:rPr>
                <w:b/>
              </w:rPr>
              <w:lastRenderedPageBreak/>
              <w:t xml:space="preserve">Neutral- not a factor in delivery of the strategy. </w:t>
            </w:r>
          </w:p>
          <w:p w14:paraId="061EDCB6" w14:textId="77777777" w:rsidR="00E677F3" w:rsidRDefault="00E677F3" w:rsidP="008D440C">
            <w:pPr>
              <w:rPr>
                <w:u w:val="single"/>
              </w:rPr>
            </w:pPr>
            <w:r>
              <w:rPr>
                <w:u w:val="single"/>
              </w:rPr>
              <w:t>Evidence:</w:t>
            </w:r>
          </w:p>
        </w:tc>
      </w:tr>
      <w:tr w:rsidR="00E677F3" w14:paraId="253DB347" w14:textId="77777777" w:rsidTr="00B72664">
        <w:trPr>
          <w:jc w:val="center"/>
        </w:trPr>
        <w:tc>
          <w:tcPr>
            <w:tcW w:w="5022" w:type="dxa"/>
            <w:shd w:val="clear" w:color="auto" w:fill="D9D9D9"/>
          </w:tcPr>
          <w:p w14:paraId="22628899" w14:textId="77777777" w:rsidR="00E677F3" w:rsidRDefault="00E677F3" w:rsidP="00855FAC">
            <w:pPr>
              <w:rPr>
                <w:b/>
              </w:rPr>
            </w:pPr>
            <w:r>
              <w:rPr>
                <w:b/>
              </w:rPr>
              <w:t>Disability</w:t>
            </w:r>
          </w:p>
          <w:p w14:paraId="391F2C20" w14:textId="77777777" w:rsidR="00E677F3" w:rsidRDefault="00E677F3" w:rsidP="00DF405A">
            <w:r>
              <w:t>Impact on people with disabilities, inc physical, sensory and learning disabilities, mental health issues and long-term limiting illnesses</w:t>
            </w:r>
          </w:p>
          <w:p w14:paraId="7BEC9998" w14:textId="77777777" w:rsidR="00E677F3" w:rsidRDefault="00E677F3" w:rsidP="00DF405A"/>
        </w:tc>
        <w:tc>
          <w:tcPr>
            <w:tcW w:w="9388" w:type="dxa"/>
            <w:gridSpan w:val="4"/>
          </w:tcPr>
          <w:p w14:paraId="3ECD517B" w14:textId="77777777" w:rsidR="00E677F3" w:rsidRDefault="00E677F3" w:rsidP="008D440C">
            <w:pPr>
              <w:rPr>
                <w:b/>
              </w:rPr>
            </w:pPr>
            <w:r>
              <w:rPr>
                <w:b/>
              </w:rPr>
              <w:t>Positive</w:t>
            </w:r>
          </w:p>
          <w:p w14:paraId="65BBBFDC" w14:textId="77777777" w:rsidR="00E677F3" w:rsidRDefault="00E677F3" w:rsidP="008D440C">
            <w:pPr>
              <w:rPr>
                <w:u w:val="single"/>
              </w:rPr>
            </w:pPr>
            <w:r>
              <w:rPr>
                <w:u w:val="single"/>
              </w:rPr>
              <w:t>Evidence:</w:t>
            </w:r>
          </w:p>
          <w:p w14:paraId="4A2915FF" w14:textId="2D0EED9B" w:rsidR="00E677F3" w:rsidRPr="008C0EC7" w:rsidRDefault="007C34F7" w:rsidP="008D440C">
            <w:r>
              <w:t xml:space="preserve">People who are dependent on the car due to a disability will need to be able to access electric vehicle charging points. </w:t>
            </w:r>
          </w:p>
        </w:tc>
      </w:tr>
      <w:tr w:rsidR="00E677F3" w14:paraId="656080DD" w14:textId="77777777" w:rsidTr="00B72664">
        <w:trPr>
          <w:jc w:val="center"/>
        </w:trPr>
        <w:tc>
          <w:tcPr>
            <w:tcW w:w="5022" w:type="dxa"/>
            <w:shd w:val="clear" w:color="auto" w:fill="D9D9D9"/>
          </w:tcPr>
          <w:p w14:paraId="4B1363E3" w14:textId="77777777" w:rsidR="00E677F3" w:rsidRDefault="00E677F3" w:rsidP="008D440C">
            <w:r>
              <w:rPr>
                <w:b/>
              </w:rPr>
              <w:t>Gender</w:t>
            </w:r>
          </w:p>
          <w:p w14:paraId="41EBE50A" w14:textId="77777777" w:rsidR="00E677F3" w:rsidRDefault="00E677F3" w:rsidP="00DF405A">
            <w:r>
              <w:t>Impact on people of different genders, inc transgender</w:t>
            </w:r>
          </w:p>
          <w:p w14:paraId="11BE87DA" w14:textId="77777777" w:rsidR="00E677F3" w:rsidRDefault="00E677F3" w:rsidP="00DF405A"/>
        </w:tc>
        <w:tc>
          <w:tcPr>
            <w:tcW w:w="9388" w:type="dxa"/>
            <w:gridSpan w:val="4"/>
          </w:tcPr>
          <w:p w14:paraId="556E7A27" w14:textId="77777777" w:rsidR="00E677F3" w:rsidRDefault="00E677F3" w:rsidP="008D440C">
            <w:pPr>
              <w:rPr>
                <w:b/>
              </w:rPr>
            </w:pPr>
            <w:r>
              <w:rPr>
                <w:b/>
              </w:rPr>
              <w:t xml:space="preserve">Neutral- not a factor in delivery of the strategy. </w:t>
            </w:r>
          </w:p>
          <w:p w14:paraId="0A5120B5" w14:textId="77777777" w:rsidR="00E677F3" w:rsidRDefault="00E677F3" w:rsidP="008D440C">
            <w:r>
              <w:rPr>
                <w:u w:val="single"/>
              </w:rPr>
              <w:t>Evidence:</w:t>
            </w:r>
          </w:p>
        </w:tc>
      </w:tr>
      <w:tr w:rsidR="00E677F3" w14:paraId="73ADFF02" w14:textId="77777777" w:rsidTr="00B72664">
        <w:trPr>
          <w:jc w:val="center"/>
        </w:trPr>
        <w:tc>
          <w:tcPr>
            <w:tcW w:w="5022" w:type="dxa"/>
            <w:shd w:val="clear" w:color="auto" w:fill="D9D9D9"/>
          </w:tcPr>
          <w:p w14:paraId="423C9891" w14:textId="77777777" w:rsidR="00E677F3" w:rsidRDefault="00E677F3" w:rsidP="008D440C">
            <w:r>
              <w:rPr>
                <w:b/>
              </w:rPr>
              <w:t>Age</w:t>
            </w:r>
          </w:p>
          <w:p w14:paraId="29B5DD4D" w14:textId="77777777" w:rsidR="00E677F3" w:rsidRDefault="00E677F3" w:rsidP="00DF405A">
            <w:r>
              <w:t>Impact on people of all ages, inc younger and older people</w:t>
            </w:r>
          </w:p>
          <w:p w14:paraId="40F798A8" w14:textId="77777777" w:rsidR="00E677F3" w:rsidRDefault="00E677F3" w:rsidP="00DF405A"/>
        </w:tc>
        <w:tc>
          <w:tcPr>
            <w:tcW w:w="9388" w:type="dxa"/>
            <w:gridSpan w:val="4"/>
          </w:tcPr>
          <w:p w14:paraId="75A83C05" w14:textId="77777777" w:rsidR="00E677F3" w:rsidRDefault="00E677F3" w:rsidP="008D440C">
            <w:pPr>
              <w:rPr>
                <w:b/>
              </w:rPr>
            </w:pPr>
            <w:r>
              <w:rPr>
                <w:b/>
              </w:rPr>
              <w:t>Positive</w:t>
            </w:r>
          </w:p>
          <w:p w14:paraId="52138799" w14:textId="77777777" w:rsidR="00E677F3" w:rsidRDefault="00E677F3" w:rsidP="008D440C">
            <w:pPr>
              <w:rPr>
                <w:u w:val="single"/>
              </w:rPr>
            </w:pPr>
            <w:r>
              <w:rPr>
                <w:u w:val="single"/>
              </w:rPr>
              <w:t>Evidence:</w:t>
            </w:r>
          </w:p>
          <w:p w14:paraId="177B63BD" w14:textId="47BC7366" w:rsidR="00E677F3" w:rsidRPr="001130E8" w:rsidRDefault="00774EA1" w:rsidP="008D440C">
            <w:r>
              <w:t xml:space="preserve">People who are more dependent on a car due to age factors will need to be able to access electric vehicle charging points. </w:t>
            </w:r>
          </w:p>
        </w:tc>
      </w:tr>
      <w:tr w:rsidR="00E677F3" w14:paraId="39E685FD" w14:textId="77777777" w:rsidTr="00B72664">
        <w:trPr>
          <w:jc w:val="center"/>
        </w:trPr>
        <w:tc>
          <w:tcPr>
            <w:tcW w:w="5022" w:type="dxa"/>
            <w:shd w:val="clear" w:color="auto" w:fill="D9D9D9"/>
          </w:tcPr>
          <w:p w14:paraId="751CD627" w14:textId="77777777" w:rsidR="00E677F3" w:rsidRDefault="00E677F3" w:rsidP="008D440C">
            <w:pPr>
              <w:rPr>
                <w:b/>
              </w:rPr>
            </w:pPr>
            <w:r>
              <w:rPr>
                <w:b/>
              </w:rPr>
              <w:t>Sexual orientation</w:t>
            </w:r>
          </w:p>
          <w:p w14:paraId="6E507BB1" w14:textId="77777777" w:rsidR="00E677F3" w:rsidRDefault="00E677F3" w:rsidP="008D440C">
            <w:r>
              <w:t>Impact on people who are gay, lesbian or bisexual</w:t>
            </w:r>
          </w:p>
          <w:p w14:paraId="20A63A4D" w14:textId="77777777" w:rsidR="00E677F3" w:rsidRDefault="00E677F3" w:rsidP="008D440C"/>
        </w:tc>
        <w:tc>
          <w:tcPr>
            <w:tcW w:w="9388" w:type="dxa"/>
            <w:gridSpan w:val="4"/>
          </w:tcPr>
          <w:p w14:paraId="24175F56" w14:textId="77777777" w:rsidR="00E677F3" w:rsidRDefault="00E677F3" w:rsidP="008D440C">
            <w:pPr>
              <w:rPr>
                <w:b/>
              </w:rPr>
            </w:pPr>
            <w:r>
              <w:rPr>
                <w:b/>
              </w:rPr>
              <w:t xml:space="preserve">Neutral- not a factor in delivery of the strategy. </w:t>
            </w:r>
          </w:p>
          <w:p w14:paraId="2FB12509" w14:textId="77777777" w:rsidR="00E677F3" w:rsidRDefault="00E677F3" w:rsidP="008D440C">
            <w:r>
              <w:rPr>
                <w:u w:val="single"/>
              </w:rPr>
              <w:t>Evidence:</w:t>
            </w:r>
          </w:p>
        </w:tc>
      </w:tr>
      <w:tr w:rsidR="00E677F3" w14:paraId="04A610E4" w14:textId="77777777" w:rsidTr="005C6890">
        <w:trPr>
          <w:jc w:val="center"/>
        </w:trPr>
        <w:tc>
          <w:tcPr>
            <w:tcW w:w="5022" w:type="dxa"/>
            <w:shd w:val="clear" w:color="auto" w:fill="D9D9D9"/>
          </w:tcPr>
          <w:p w14:paraId="5BAF0BD5" w14:textId="77777777" w:rsidR="00E677F3" w:rsidRDefault="00E677F3" w:rsidP="008D440C">
            <w:pPr>
              <w:rPr>
                <w:b/>
              </w:rPr>
            </w:pPr>
            <w:r>
              <w:rPr>
                <w:b/>
              </w:rPr>
              <w:t>Religion or belief</w:t>
            </w:r>
          </w:p>
          <w:p w14:paraId="6565CACF" w14:textId="77777777" w:rsidR="00E677F3" w:rsidRDefault="00E677F3" w:rsidP="008D440C">
            <w:r>
              <w:t>Impact on people who practise different religions or have different beliefs (inc non-belief)</w:t>
            </w:r>
          </w:p>
          <w:p w14:paraId="0D225EA3" w14:textId="77777777" w:rsidR="00E677F3" w:rsidRDefault="00E677F3" w:rsidP="008D440C"/>
        </w:tc>
        <w:tc>
          <w:tcPr>
            <w:tcW w:w="9388" w:type="dxa"/>
            <w:gridSpan w:val="4"/>
          </w:tcPr>
          <w:p w14:paraId="7A955B38" w14:textId="77777777" w:rsidR="00E677F3" w:rsidRDefault="00E677F3" w:rsidP="008D440C">
            <w:pPr>
              <w:rPr>
                <w:b/>
              </w:rPr>
            </w:pPr>
            <w:r>
              <w:rPr>
                <w:b/>
              </w:rPr>
              <w:t xml:space="preserve">Neutral- not a factor in delivery of the strategy. </w:t>
            </w:r>
          </w:p>
          <w:p w14:paraId="4ED96289" w14:textId="77777777" w:rsidR="00E677F3" w:rsidRDefault="00E677F3" w:rsidP="008D440C">
            <w:r>
              <w:rPr>
                <w:u w:val="single"/>
              </w:rPr>
              <w:t>Evidence:</w:t>
            </w:r>
          </w:p>
        </w:tc>
      </w:tr>
      <w:tr w:rsidR="00E677F3" w14:paraId="6F8D17BE" w14:textId="77777777" w:rsidTr="00B72664">
        <w:trPr>
          <w:jc w:val="center"/>
        </w:trPr>
        <w:tc>
          <w:tcPr>
            <w:tcW w:w="5022" w:type="dxa"/>
            <w:shd w:val="clear" w:color="auto" w:fill="D9D9D9"/>
          </w:tcPr>
          <w:p w14:paraId="71E2BC9D" w14:textId="77777777" w:rsidR="00E677F3" w:rsidRDefault="00E677F3" w:rsidP="008D440C">
            <w:pPr>
              <w:rPr>
                <w:b/>
              </w:rPr>
            </w:pPr>
            <w:r>
              <w:rPr>
                <w:b/>
              </w:rPr>
              <w:t>Other</w:t>
            </w:r>
          </w:p>
          <w:p w14:paraId="226ABF4F" w14:textId="77777777" w:rsidR="00E677F3" w:rsidRDefault="00E677F3" w:rsidP="008D440C">
            <w:pPr>
              <w:rPr>
                <w:bCs/>
              </w:rPr>
            </w:pPr>
            <w:r>
              <w:rPr>
                <w:bCs/>
              </w:rPr>
              <w:t>e.g.  Deprivation, health inequalities, urban/rural divide, community safety.</w:t>
            </w:r>
          </w:p>
          <w:p w14:paraId="7439FF4E" w14:textId="77777777" w:rsidR="00E677F3" w:rsidRPr="00DF405A" w:rsidRDefault="00E677F3" w:rsidP="008D440C">
            <w:pPr>
              <w:rPr>
                <w:bCs/>
              </w:rPr>
            </w:pPr>
          </w:p>
        </w:tc>
        <w:tc>
          <w:tcPr>
            <w:tcW w:w="9388" w:type="dxa"/>
            <w:gridSpan w:val="4"/>
          </w:tcPr>
          <w:p w14:paraId="1C505640" w14:textId="77777777" w:rsidR="00774EA1" w:rsidRDefault="00774EA1" w:rsidP="00774EA1">
            <w:pPr>
              <w:rPr>
                <w:b/>
              </w:rPr>
            </w:pPr>
            <w:r>
              <w:rPr>
                <w:b/>
              </w:rPr>
              <w:t>Positive</w:t>
            </w:r>
          </w:p>
          <w:p w14:paraId="5109A3ED" w14:textId="79E28A4B" w:rsidR="00774EA1" w:rsidRDefault="00774EA1" w:rsidP="00774EA1">
            <w:pPr>
              <w:rPr>
                <w:u w:val="single"/>
              </w:rPr>
            </w:pPr>
            <w:r>
              <w:rPr>
                <w:u w:val="single"/>
              </w:rPr>
              <w:t>Evidence:</w:t>
            </w:r>
          </w:p>
          <w:p w14:paraId="02E05F3A" w14:textId="33C31462" w:rsidR="00774EA1" w:rsidRPr="00774EA1" w:rsidRDefault="00774EA1" w:rsidP="00774EA1">
            <w:r>
              <w:t xml:space="preserve">Sites have been identified across the district, taking into account factors such as technical feasibility and projected usage. </w:t>
            </w:r>
            <w:r w:rsidR="002634F2">
              <w:t xml:space="preserve">The charge points will also benefit those who do not have their own off street parking and would otherwise not be able to charge their electric vehicles. </w:t>
            </w:r>
          </w:p>
          <w:p w14:paraId="700449B8" w14:textId="77777777" w:rsidR="00E677F3" w:rsidRDefault="00E677F3" w:rsidP="008D440C">
            <w:pPr>
              <w:rPr>
                <w:b/>
              </w:rPr>
            </w:pPr>
          </w:p>
        </w:tc>
      </w:tr>
      <w:tr w:rsidR="00E677F3" w14:paraId="0D202411" w14:textId="77777777" w:rsidTr="00B72664">
        <w:trPr>
          <w:jc w:val="center"/>
        </w:trPr>
        <w:tc>
          <w:tcPr>
            <w:tcW w:w="7323" w:type="dxa"/>
            <w:gridSpan w:val="2"/>
          </w:tcPr>
          <w:p w14:paraId="12D4D6A0" w14:textId="4C21483A" w:rsidR="00E677F3" w:rsidRPr="008C6343" w:rsidRDefault="00E677F3" w:rsidP="008D440C">
            <w:r>
              <w:rPr>
                <w:b/>
              </w:rPr>
              <w:t xml:space="preserve">Conclusion </w:t>
            </w:r>
            <w:r w:rsidR="002634F2">
              <w:t xml:space="preserve">All electric vehicle owners will be able to access the chargepoints, with positive benefits for those who are reliant on using a car rather than other means of transport due to factors such as age or disability. </w:t>
            </w:r>
          </w:p>
          <w:p w14:paraId="0A3A82AF" w14:textId="77777777" w:rsidR="00E677F3" w:rsidRDefault="00E677F3" w:rsidP="008D440C">
            <w:pPr>
              <w:rPr>
                <w:color w:val="008000"/>
              </w:rPr>
            </w:pPr>
          </w:p>
        </w:tc>
        <w:tc>
          <w:tcPr>
            <w:tcW w:w="7087" w:type="dxa"/>
            <w:gridSpan w:val="3"/>
          </w:tcPr>
          <w:p w14:paraId="01B41CCA" w14:textId="77777777" w:rsidR="00E677F3" w:rsidRDefault="00E677F3" w:rsidP="008D440C">
            <w:r>
              <w:lastRenderedPageBreak/>
              <w:t>Is a full assessment required?        NO</w:t>
            </w:r>
          </w:p>
          <w:p w14:paraId="75C1211C" w14:textId="77777777" w:rsidR="00E677F3" w:rsidRDefault="00E677F3" w:rsidP="008D440C"/>
        </w:tc>
      </w:tr>
      <w:tr w:rsidR="00E677F3" w14:paraId="759C11CE" w14:textId="77777777" w:rsidTr="00D5225B">
        <w:trPr>
          <w:trHeight w:val="703"/>
          <w:jc w:val="center"/>
        </w:trPr>
        <w:tc>
          <w:tcPr>
            <w:tcW w:w="7323" w:type="dxa"/>
            <w:gridSpan w:val="2"/>
          </w:tcPr>
          <w:p w14:paraId="17A081EE" w14:textId="7EB46DBA" w:rsidR="00E677F3" w:rsidRDefault="00E677F3" w:rsidP="008D440C">
            <w:pPr>
              <w:rPr>
                <w:b/>
              </w:rPr>
            </w:pPr>
            <w:r>
              <w:rPr>
                <w:b/>
              </w:rPr>
              <w:t>Signed</w:t>
            </w:r>
            <w:r w:rsidR="00D5225B" w:rsidRPr="009E5B05">
              <w:rPr>
                <w:noProof/>
              </w:rPr>
              <w:drawing>
                <wp:inline distT="0" distB="0" distL="0" distR="0" wp14:anchorId="590307A1" wp14:editId="5B409612">
                  <wp:extent cx="1619250" cy="381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gridSpan w:val="3"/>
          </w:tcPr>
          <w:p w14:paraId="03A54030" w14:textId="1D083E8E" w:rsidR="00E677F3" w:rsidRDefault="00E677F3" w:rsidP="008D440C">
            <w:r>
              <w:t xml:space="preserve">Date </w:t>
            </w:r>
            <w:r w:rsidR="00D5225B">
              <w:t>13 /10/2021</w:t>
            </w:r>
          </w:p>
        </w:tc>
      </w:tr>
      <w:tr w:rsidR="00E677F3" w14:paraId="4DFB5A67" w14:textId="77777777" w:rsidTr="005C6890">
        <w:trPr>
          <w:jc w:val="center"/>
        </w:trPr>
        <w:tc>
          <w:tcPr>
            <w:tcW w:w="7323" w:type="dxa"/>
            <w:gridSpan w:val="2"/>
          </w:tcPr>
          <w:p w14:paraId="7F63F7A7" w14:textId="6AE2819D" w:rsidR="00E677F3" w:rsidRDefault="00730C93" w:rsidP="008D440C">
            <w:pPr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69521109" wp14:editId="679D740B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-58420</wp:posOffset>
                  </wp:positionV>
                  <wp:extent cx="1188720" cy="415925"/>
                  <wp:effectExtent l="0" t="0" r="0" b="317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415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77F3">
              <w:rPr>
                <w:b/>
              </w:rPr>
              <w:t>Agreed</w:t>
            </w:r>
            <w:r>
              <w:rPr>
                <w:b/>
              </w:rPr>
              <w:t xml:space="preserve"> </w:t>
            </w:r>
          </w:p>
          <w:p w14:paraId="3920D08F" w14:textId="1CD00714" w:rsidR="00E677F3" w:rsidRDefault="00E677F3" w:rsidP="008D440C">
            <w:pPr>
              <w:rPr>
                <w:b/>
              </w:rPr>
            </w:pPr>
          </w:p>
        </w:tc>
        <w:tc>
          <w:tcPr>
            <w:tcW w:w="7087" w:type="dxa"/>
            <w:gridSpan w:val="3"/>
          </w:tcPr>
          <w:p w14:paraId="3AEDC069" w14:textId="12B2BAFE" w:rsidR="00E677F3" w:rsidRDefault="00E677F3" w:rsidP="008D440C">
            <w:r>
              <w:t xml:space="preserve">Date </w:t>
            </w:r>
            <w:r w:rsidR="00730C93">
              <w:t>13/10/2021</w:t>
            </w:r>
          </w:p>
        </w:tc>
      </w:tr>
      <w:tr w:rsidR="00E677F3" w14:paraId="1BE48349" w14:textId="77777777" w:rsidTr="005C6890">
        <w:trPr>
          <w:jc w:val="center"/>
        </w:trPr>
        <w:tc>
          <w:tcPr>
            <w:tcW w:w="14410" w:type="dxa"/>
            <w:gridSpan w:val="5"/>
            <w:shd w:val="clear" w:color="auto" w:fill="D9D9D9"/>
          </w:tcPr>
          <w:p w14:paraId="3EC80E97" w14:textId="6493EF36" w:rsidR="00E677F3" w:rsidRPr="005C6890" w:rsidRDefault="00E677F3" w:rsidP="005C6890">
            <w:pPr>
              <w:jc w:val="center"/>
              <w:rPr>
                <w:b/>
              </w:rPr>
            </w:pPr>
            <w:r>
              <w:rPr>
                <w:b/>
              </w:rPr>
              <w:t xml:space="preserve">A </w:t>
            </w:r>
            <w:r w:rsidRPr="005C6890">
              <w:rPr>
                <w:b/>
              </w:rPr>
              <w:t xml:space="preserve">full </w:t>
            </w:r>
            <w:r>
              <w:rPr>
                <w:b/>
              </w:rPr>
              <w:t xml:space="preserve">EIA </w:t>
            </w:r>
            <w:r w:rsidRPr="005C6890">
              <w:rPr>
                <w:b/>
              </w:rPr>
              <w:t>is required if the initial screening has identified the service or policy is going to have the potential to cause adverse impact or discriminate against different groups in the community</w:t>
            </w:r>
          </w:p>
        </w:tc>
      </w:tr>
    </w:tbl>
    <w:p w14:paraId="288D457D" w14:textId="6636DFB8" w:rsidR="00E677F3" w:rsidRPr="006E2168" w:rsidRDefault="00E677F3" w:rsidP="00EA7769">
      <w:pPr>
        <w:rPr>
          <w:i/>
        </w:rPr>
      </w:pPr>
    </w:p>
    <w:sectPr w:rsidR="00E677F3" w:rsidRPr="006E2168" w:rsidSect="00855FAC">
      <w:pgSz w:w="16838" w:h="11906" w:orient="landscape"/>
      <w:pgMar w:top="993" w:right="1440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06FA1"/>
    <w:multiLevelType w:val="hybridMultilevel"/>
    <w:tmpl w:val="654A4454"/>
    <w:lvl w:ilvl="0" w:tplc="FFFFFFFF">
      <w:start w:val="9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" w15:restartNumberingAfterBreak="0">
    <w:nsid w:val="478F6DF8"/>
    <w:multiLevelType w:val="hybridMultilevel"/>
    <w:tmpl w:val="EC98164A"/>
    <w:lvl w:ilvl="0" w:tplc="8CE00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99CC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32BCC"/>
    <w:multiLevelType w:val="hybridMultilevel"/>
    <w:tmpl w:val="8402B78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3E22604"/>
    <w:multiLevelType w:val="hybridMultilevel"/>
    <w:tmpl w:val="274AAE30"/>
    <w:lvl w:ilvl="0" w:tplc="FFFFFFF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4" w15:restartNumberingAfterBreak="0">
    <w:nsid w:val="63EE79FF"/>
    <w:multiLevelType w:val="hybridMultilevel"/>
    <w:tmpl w:val="51F0F33C"/>
    <w:lvl w:ilvl="0" w:tplc="F94EE5AA">
      <w:numFmt w:val="bullet"/>
      <w:lvlText w:val="-"/>
      <w:lvlJc w:val="left"/>
      <w:pPr>
        <w:ind w:left="720" w:hanging="360"/>
      </w:pPr>
      <w:rPr>
        <w:rFonts w:ascii="Arial" w:eastAsia="SimSu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AC"/>
    <w:rsid w:val="000143BB"/>
    <w:rsid w:val="000E3B3E"/>
    <w:rsid w:val="000E7C21"/>
    <w:rsid w:val="001130E8"/>
    <w:rsid w:val="002634F2"/>
    <w:rsid w:val="00275E1E"/>
    <w:rsid w:val="00291AA6"/>
    <w:rsid w:val="00357B27"/>
    <w:rsid w:val="00374C06"/>
    <w:rsid w:val="00383C96"/>
    <w:rsid w:val="003F1AF3"/>
    <w:rsid w:val="004541B5"/>
    <w:rsid w:val="004A5AD2"/>
    <w:rsid w:val="004D07DF"/>
    <w:rsid w:val="004D48B4"/>
    <w:rsid w:val="005C6890"/>
    <w:rsid w:val="00626D3C"/>
    <w:rsid w:val="00694958"/>
    <w:rsid w:val="006E2168"/>
    <w:rsid w:val="00730C93"/>
    <w:rsid w:val="00755A75"/>
    <w:rsid w:val="00774EA1"/>
    <w:rsid w:val="00794137"/>
    <w:rsid w:val="007A1521"/>
    <w:rsid w:val="007C34F7"/>
    <w:rsid w:val="007C77DC"/>
    <w:rsid w:val="007E11AE"/>
    <w:rsid w:val="00855FAC"/>
    <w:rsid w:val="008C0EC7"/>
    <w:rsid w:val="008C6343"/>
    <w:rsid w:val="008C7991"/>
    <w:rsid w:val="008D440C"/>
    <w:rsid w:val="009475A7"/>
    <w:rsid w:val="00950F55"/>
    <w:rsid w:val="00A15ED0"/>
    <w:rsid w:val="00A43C54"/>
    <w:rsid w:val="00A5073A"/>
    <w:rsid w:val="00A602BD"/>
    <w:rsid w:val="00AA0B12"/>
    <w:rsid w:val="00AD14C4"/>
    <w:rsid w:val="00AE5C5A"/>
    <w:rsid w:val="00B36DC0"/>
    <w:rsid w:val="00B72664"/>
    <w:rsid w:val="00C1109A"/>
    <w:rsid w:val="00C47CE3"/>
    <w:rsid w:val="00C52E04"/>
    <w:rsid w:val="00C94565"/>
    <w:rsid w:val="00CB6288"/>
    <w:rsid w:val="00D5225B"/>
    <w:rsid w:val="00DF20EF"/>
    <w:rsid w:val="00DF405A"/>
    <w:rsid w:val="00DF61DE"/>
    <w:rsid w:val="00E3501B"/>
    <w:rsid w:val="00E677F3"/>
    <w:rsid w:val="00EA7769"/>
    <w:rsid w:val="00EF3EB0"/>
    <w:rsid w:val="00F9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6110ED"/>
  <w15:docId w15:val="{BA648672-FF5A-4C59-8A6F-3E497131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FAC"/>
    <w:rPr>
      <w:rFonts w:ascii="Arial" w:hAnsi="Arial" w:cs="Arial"/>
      <w:sz w:val="24"/>
      <w:szCs w:val="24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5FAC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26D3C"/>
    <w:rPr>
      <w:rFonts w:ascii="Cambria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99"/>
    <w:qFormat/>
    <w:rsid w:val="00A50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Impact Assessment- Screening</vt:lpstr>
    </vt:vector>
  </TitlesOfParts>
  <Company>Wyre Forest District Council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Impact Assessment- Screening</dc:title>
  <dc:creator>RebeccaD</dc:creator>
  <cp:lastModifiedBy>Tina Wootton-Porter</cp:lastModifiedBy>
  <cp:revision>2</cp:revision>
  <dcterms:created xsi:type="dcterms:W3CDTF">2021-11-11T13:22:00Z</dcterms:created>
  <dcterms:modified xsi:type="dcterms:W3CDTF">2021-11-11T13:22:00Z</dcterms:modified>
</cp:coreProperties>
</file>