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BF6CB" w14:textId="1765641E" w:rsidR="00CA6778" w:rsidRPr="00855FAC" w:rsidRDefault="0034774F" w:rsidP="00855FAC">
      <w:pPr>
        <w:pStyle w:val="Heading3"/>
        <w:rPr>
          <w:color w:val="008000"/>
          <w:sz w:val="28"/>
          <w:szCs w:val="28"/>
        </w:rPr>
      </w:pPr>
      <w:r>
        <w:rPr>
          <w:noProof/>
        </w:rPr>
        <mc:AlternateContent>
          <mc:Choice Requires="wps">
            <w:drawing>
              <wp:anchor distT="0" distB="0" distL="114300" distR="114300" simplePos="0" relativeHeight="251657728" behindDoc="0" locked="0" layoutInCell="1" allowOverlap="1" wp14:anchorId="2C724D7D" wp14:editId="76A447DA">
                <wp:simplePos x="0" y="0"/>
                <wp:positionH relativeFrom="column">
                  <wp:posOffset>8032115</wp:posOffset>
                </wp:positionH>
                <wp:positionV relativeFrom="paragraph">
                  <wp:posOffset>-342900</wp:posOffset>
                </wp:positionV>
                <wp:extent cx="1257300" cy="457200"/>
                <wp:effectExtent l="2540"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BE73DE" w14:textId="77777777" w:rsidR="00D54742" w:rsidRPr="00B72664" w:rsidRDefault="00D54742" w:rsidP="00B72664">
                            <w:pPr>
                              <w:jc w:val="right"/>
                              <w:rPr>
                                <w:b/>
                              </w:rPr>
                            </w:pPr>
                            <w:r w:rsidRPr="00B72664">
                              <w:rPr>
                                <w:b/>
                              </w:rPr>
                              <w:t>APPENDIX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24D7D" id="_x0000_t202" coordsize="21600,21600" o:spt="202" path="m,l,21600r21600,l21600,xe">
                <v:stroke joinstyle="miter"/>
                <v:path gradientshapeok="t" o:connecttype="rect"/>
              </v:shapetype>
              <v:shape id="Text Box 2" o:spid="_x0000_s1026" type="#_x0000_t202" style="position:absolute;left:0;text-align:left;margin-left:632.45pt;margin-top:-27pt;width:99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" stroked="f">
                <v:textbox>
                  <w:txbxContent>
                    <w:p w14:paraId="15BE73DE" w14:textId="77777777" w:rsidR="00D54742" w:rsidRPr="00B72664" w:rsidRDefault="00D54742" w:rsidP="00B72664">
                      <w:pPr>
                        <w:jc w:val="right"/>
                        <w:rPr>
                          <w:b/>
                        </w:rPr>
                      </w:pPr>
                      <w:r w:rsidRPr="00B72664">
                        <w:rPr>
                          <w:b/>
                        </w:rPr>
                        <w:t>APPENDIX A</w:t>
                      </w:r>
                    </w:p>
                  </w:txbxContent>
                </v:textbox>
              </v:shape>
            </w:pict>
          </mc:Fallback>
        </mc:AlternateContent>
      </w:r>
      <w:r w:rsidR="00CA6778" w:rsidRPr="00855FAC">
        <w:rPr>
          <w:sz w:val="28"/>
          <w:szCs w:val="28"/>
        </w:rPr>
        <w:t>Equality Impact Assessment- Screening</w:t>
      </w:r>
    </w:p>
    <w:p w14:paraId="07679CB2" w14:textId="77777777" w:rsidR="00CA6778" w:rsidRDefault="00CA6778" w:rsidP="00855FAC">
      <w:r>
        <w:t>An EIA is a way of finding out if:</w:t>
      </w:r>
    </w:p>
    <w:p w14:paraId="2CF30F10" w14:textId="77777777" w:rsidR="00CA6778" w:rsidRDefault="00CA6778" w:rsidP="00855FAC">
      <w:pPr>
        <w:numPr>
          <w:ilvl w:val="0"/>
          <w:numId w:val="4"/>
        </w:numPr>
      </w:pPr>
      <w:r>
        <w:t>Our services are accessible to service users and employees.</w:t>
      </w:r>
    </w:p>
    <w:p w14:paraId="0395ADB6" w14:textId="77777777" w:rsidR="00CA6778" w:rsidRDefault="00CA6778" w:rsidP="00855FAC"/>
    <w:p w14:paraId="2035CAE1" w14:textId="77777777" w:rsidR="00CA6778" w:rsidRDefault="00CA6778" w:rsidP="00855FAC">
      <w:r>
        <w:t>An EIA helps us to make sure that</w:t>
      </w:r>
    </w:p>
    <w:p w14:paraId="4AB4D036" w14:textId="77777777" w:rsidR="00CA6778" w:rsidRDefault="00CA6778" w:rsidP="00855FAC">
      <w:pPr>
        <w:numPr>
          <w:ilvl w:val="0"/>
          <w:numId w:val="4"/>
        </w:numPr>
      </w:pPr>
      <w:r>
        <w:t>Our functions and policies do not have a negative impact or discriminate in any way against any members of our local community.</w:t>
      </w:r>
    </w:p>
    <w:p w14:paraId="15A4837B" w14:textId="77777777" w:rsidR="00CA6778" w:rsidRPr="008D440C" w:rsidRDefault="00CA6778" w:rsidP="00855FAC">
      <w:pPr>
        <w:rPr>
          <w:sz w:val="16"/>
          <w:szCs w:val="16"/>
        </w:rPr>
      </w:pPr>
    </w:p>
    <w:tbl>
      <w:tblPr>
        <w:tblW w:w="14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22"/>
        <w:gridCol w:w="2301"/>
        <w:gridCol w:w="2283"/>
        <w:gridCol w:w="3212"/>
        <w:gridCol w:w="1592"/>
      </w:tblGrid>
      <w:tr w:rsidR="00CA6778" w14:paraId="468923ED" w14:textId="77777777" w:rsidTr="00B72664">
        <w:trPr>
          <w:jc w:val="center"/>
        </w:trPr>
        <w:tc>
          <w:tcPr>
            <w:tcW w:w="5022" w:type="dxa"/>
            <w:shd w:val="clear" w:color="auto" w:fill="99CC00"/>
          </w:tcPr>
          <w:p w14:paraId="6354D3AF" w14:textId="77777777" w:rsidR="00CA6778" w:rsidRDefault="00CA6778" w:rsidP="00855FAC">
            <w:r>
              <w:t>Name of service or policy being assessed</w:t>
            </w:r>
          </w:p>
          <w:p w14:paraId="4849BDC9" w14:textId="77777777" w:rsidR="00CA6778" w:rsidRDefault="00CA6778" w:rsidP="008D440C"/>
        </w:tc>
        <w:tc>
          <w:tcPr>
            <w:tcW w:w="4584" w:type="dxa"/>
            <w:gridSpan w:val="2"/>
          </w:tcPr>
          <w:p w14:paraId="5002A05C" w14:textId="04528495" w:rsidR="00CA6778" w:rsidRDefault="00C474D2" w:rsidP="00D3480F">
            <w:r>
              <w:rPr>
                <w:b/>
                <w:bCs/>
              </w:rPr>
              <w:t xml:space="preserve">Homelessness </w:t>
            </w:r>
            <w:r w:rsidR="00404902">
              <w:rPr>
                <w:b/>
                <w:bCs/>
              </w:rPr>
              <w:t xml:space="preserve">and Rough Sleeper </w:t>
            </w:r>
            <w:r>
              <w:rPr>
                <w:b/>
                <w:bCs/>
              </w:rPr>
              <w:t>Strategy</w:t>
            </w:r>
          </w:p>
        </w:tc>
        <w:tc>
          <w:tcPr>
            <w:tcW w:w="3212" w:type="dxa"/>
            <w:shd w:val="clear" w:color="auto" w:fill="99CC00"/>
          </w:tcPr>
          <w:p w14:paraId="0FCEC92F" w14:textId="77777777" w:rsidR="00CA6778" w:rsidRDefault="00CA6778" w:rsidP="008D440C">
            <w:r>
              <w:t>Is this a new or existing service or policy?</w:t>
            </w:r>
          </w:p>
          <w:p w14:paraId="0B08C8CC" w14:textId="77777777" w:rsidR="00CA6778" w:rsidRPr="00206E57" w:rsidRDefault="00CA6778" w:rsidP="008D440C">
            <w:pPr>
              <w:rPr>
                <w:b/>
                <w:bCs/>
              </w:rPr>
            </w:pPr>
          </w:p>
        </w:tc>
        <w:tc>
          <w:tcPr>
            <w:tcW w:w="1592" w:type="dxa"/>
          </w:tcPr>
          <w:p w14:paraId="6B0C00D7" w14:textId="77777777" w:rsidR="00CA6778" w:rsidRPr="00206E57" w:rsidRDefault="00D54742" w:rsidP="008D440C">
            <w:pPr>
              <w:rPr>
                <w:b/>
                <w:bCs/>
              </w:rPr>
            </w:pPr>
            <w:r>
              <w:rPr>
                <w:b/>
                <w:bCs/>
              </w:rPr>
              <w:t xml:space="preserve">New </w:t>
            </w:r>
          </w:p>
        </w:tc>
      </w:tr>
      <w:tr w:rsidR="00CA6778" w14:paraId="7DCA8C07" w14:textId="77777777" w:rsidTr="00B72664">
        <w:trPr>
          <w:jc w:val="center"/>
        </w:trPr>
        <w:tc>
          <w:tcPr>
            <w:tcW w:w="5022" w:type="dxa"/>
            <w:shd w:val="clear" w:color="auto" w:fill="99CC00"/>
          </w:tcPr>
          <w:p w14:paraId="163423A0" w14:textId="77777777" w:rsidR="00CA6778" w:rsidRDefault="00CA6778" w:rsidP="00794137">
            <w:r>
              <w:t>Directorate</w:t>
            </w:r>
          </w:p>
          <w:p w14:paraId="69477382" w14:textId="77777777" w:rsidR="00CA6778" w:rsidRDefault="00CA6778" w:rsidP="008D440C"/>
        </w:tc>
        <w:tc>
          <w:tcPr>
            <w:tcW w:w="9388" w:type="dxa"/>
            <w:gridSpan w:val="4"/>
          </w:tcPr>
          <w:p w14:paraId="75273FE1" w14:textId="62AB9765" w:rsidR="00CA6778" w:rsidRPr="00B835FA" w:rsidRDefault="00404902" w:rsidP="008D440C">
            <w:pPr>
              <w:rPr>
                <w:b/>
                <w:bCs/>
              </w:rPr>
            </w:pPr>
            <w:r>
              <w:rPr>
                <w:b/>
                <w:bCs/>
              </w:rPr>
              <w:t>Strategic Growth</w:t>
            </w:r>
          </w:p>
        </w:tc>
      </w:tr>
      <w:tr w:rsidR="00CA6778" w14:paraId="0CF2C3EA" w14:textId="77777777" w:rsidTr="00B72664">
        <w:trPr>
          <w:jc w:val="center"/>
        </w:trPr>
        <w:tc>
          <w:tcPr>
            <w:tcW w:w="5022" w:type="dxa"/>
            <w:shd w:val="clear" w:color="auto" w:fill="99CC00"/>
          </w:tcPr>
          <w:p w14:paraId="5E6ADAF5" w14:textId="77777777" w:rsidR="00CA6778" w:rsidRDefault="00CA6778" w:rsidP="00855FAC">
            <w:r>
              <w:t>Officers completing the assessment</w:t>
            </w:r>
          </w:p>
          <w:p w14:paraId="445ED0EE" w14:textId="77777777" w:rsidR="00CA6778" w:rsidRDefault="00CA6778" w:rsidP="008D440C"/>
        </w:tc>
        <w:tc>
          <w:tcPr>
            <w:tcW w:w="9388" w:type="dxa"/>
            <w:gridSpan w:val="4"/>
          </w:tcPr>
          <w:p w14:paraId="048211D5" w14:textId="77777777" w:rsidR="00CA6778" w:rsidRPr="00B835FA" w:rsidRDefault="00D54742" w:rsidP="008D440C">
            <w:pPr>
              <w:rPr>
                <w:b/>
                <w:bCs/>
              </w:rPr>
            </w:pPr>
            <w:r>
              <w:rPr>
                <w:b/>
                <w:bCs/>
              </w:rPr>
              <w:t>Kate Bailey, Head of Strategic Growth</w:t>
            </w:r>
          </w:p>
        </w:tc>
      </w:tr>
      <w:tr w:rsidR="00CA6778" w14:paraId="14D8AC88" w14:textId="77777777" w:rsidTr="00B72664">
        <w:trPr>
          <w:jc w:val="center"/>
        </w:trPr>
        <w:tc>
          <w:tcPr>
            <w:tcW w:w="5022" w:type="dxa"/>
            <w:shd w:val="clear" w:color="auto" w:fill="99CC00"/>
          </w:tcPr>
          <w:p w14:paraId="5852AFF0" w14:textId="77777777" w:rsidR="00CA6778" w:rsidRDefault="00CA6778" w:rsidP="00855FAC">
            <w:r>
              <w:t xml:space="preserve">Date </w:t>
            </w:r>
          </w:p>
          <w:p w14:paraId="77347269" w14:textId="77777777" w:rsidR="00CA6778" w:rsidRDefault="00CA6778" w:rsidP="008D440C"/>
        </w:tc>
        <w:tc>
          <w:tcPr>
            <w:tcW w:w="9388" w:type="dxa"/>
            <w:gridSpan w:val="4"/>
          </w:tcPr>
          <w:p w14:paraId="32161963" w14:textId="5750BED9" w:rsidR="00CA6778" w:rsidRPr="00B835FA" w:rsidRDefault="001A3579" w:rsidP="00C474D2">
            <w:pPr>
              <w:rPr>
                <w:b/>
                <w:bCs/>
              </w:rPr>
            </w:pPr>
            <w:r>
              <w:rPr>
                <w:b/>
                <w:bCs/>
              </w:rPr>
              <w:t xml:space="preserve">January </w:t>
            </w:r>
            <w:r w:rsidR="00404902">
              <w:rPr>
                <w:b/>
                <w:bCs/>
              </w:rPr>
              <w:t>2023</w:t>
            </w:r>
          </w:p>
        </w:tc>
      </w:tr>
      <w:tr w:rsidR="00CA6778" w14:paraId="2BAEE77E" w14:textId="77777777" w:rsidTr="00B72664">
        <w:trPr>
          <w:jc w:val="center"/>
        </w:trPr>
        <w:tc>
          <w:tcPr>
            <w:tcW w:w="5022" w:type="dxa"/>
            <w:shd w:val="clear" w:color="auto" w:fill="D9D9D9"/>
          </w:tcPr>
          <w:p w14:paraId="575F8E69" w14:textId="77777777" w:rsidR="00CA6778" w:rsidRDefault="00CA6778" w:rsidP="00E03D9D">
            <w:r>
              <w:t>What is the purpose? What are the outcomes?</w:t>
            </w:r>
          </w:p>
        </w:tc>
        <w:tc>
          <w:tcPr>
            <w:tcW w:w="9388" w:type="dxa"/>
            <w:gridSpan w:val="4"/>
          </w:tcPr>
          <w:p w14:paraId="599D0938" w14:textId="06DA0B8C" w:rsidR="00C474D2" w:rsidRPr="00404902" w:rsidRDefault="00C474D2" w:rsidP="00404902">
            <w:pPr>
              <w:jc w:val="both"/>
              <w:rPr>
                <w:rFonts w:eastAsiaTheme="minorHAnsi"/>
              </w:rPr>
            </w:pPr>
            <w:r w:rsidRPr="00404902">
              <w:rPr>
                <w:rFonts w:eastAsiaTheme="minorHAnsi"/>
              </w:rPr>
              <w:t>This document sets the strategic direction for tackling homelessness across Worcestershire and is a legal requirement to produce under the homelessness legislation.  It recognises that to tackle homelessness in all its forms and in today’s tough external environment, we need to work closely with our partners</w:t>
            </w:r>
            <w:r w:rsidR="00404902" w:rsidRPr="00404902">
              <w:rPr>
                <w:rFonts w:eastAsiaTheme="minorHAnsi"/>
              </w:rPr>
              <w:t xml:space="preserve">. </w:t>
            </w:r>
            <w:r w:rsidRPr="00404902">
              <w:rPr>
                <w:rFonts w:eastAsiaTheme="minorHAnsi"/>
              </w:rPr>
              <w:t xml:space="preserve"> </w:t>
            </w:r>
          </w:p>
          <w:p w14:paraId="7877837B" w14:textId="7631D200" w:rsidR="00C474D2" w:rsidRPr="00404902" w:rsidRDefault="00C474D2" w:rsidP="00C474D2">
            <w:pPr>
              <w:jc w:val="both"/>
              <w:rPr>
                <w:rFonts w:eastAsiaTheme="minorHAnsi"/>
              </w:rPr>
            </w:pPr>
            <w:r w:rsidRPr="00404902">
              <w:rPr>
                <w:rFonts w:eastAsiaTheme="minorHAnsi"/>
              </w:rPr>
              <w:t>The strategy sets out a number of actions detailing how we will deliver on the priorities</w:t>
            </w:r>
            <w:r w:rsidR="00404902" w:rsidRPr="00404902">
              <w:rPr>
                <w:rFonts w:eastAsiaTheme="minorHAnsi"/>
              </w:rPr>
              <w:t xml:space="preserve"> and ensuring homelessness is rare, brief and non-recurring</w:t>
            </w:r>
            <w:r w:rsidRPr="00404902">
              <w:rPr>
                <w:rFonts w:eastAsiaTheme="minorHAnsi"/>
              </w:rPr>
              <w:t>.  Project plans and/or proposals will be developed by local homelessness forums in each of the districts to deliver on the actions.  Some actions will be carried out on a countywide basis.</w:t>
            </w:r>
          </w:p>
          <w:p w14:paraId="1BFBF33B" w14:textId="77777777" w:rsidR="00CA6778" w:rsidRPr="00363E81" w:rsidRDefault="00CA6778" w:rsidP="00363E81">
            <w:pPr>
              <w:rPr>
                <w:bCs/>
              </w:rPr>
            </w:pPr>
          </w:p>
        </w:tc>
      </w:tr>
      <w:tr w:rsidR="00CA6778" w14:paraId="1F179724" w14:textId="77777777" w:rsidTr="00B72664">
        <w:trPr>
          <w:jc w:val="center"/>
        </w:trPr>
        <w:tc>
          <w:tcPr>
            <w:tcW w:w="5022" w:type="dxa"/>
            <w:shd w:val="clear" w:color="auto" w:fill="D9D9D9"/>
          </w:tcPr>
          <w:p w14:paraId="6FF38411" w14:textId="77777777" w:rsidR="00CA6778" w:rsidRDefault="00CA6778" w:rsidP="00855FAC">
            <w:r>
              <w:t>Are there any statutory requirements?</w:t>
            </w:r>
          </w:p>
          <w:p w14:paraId="6C1E8253" w14:textId="77777777" w:rsidR="00CA6778" w:rsidRDefault="00CA6778" w:rsidP="008D440C">
            <w:r>
              <w:t xml:space="preserve"> </w:t>
            </w:r>
          </w:p>
        </w:tc>
        <w:tc>
          <w:tcPr>
            <w:tcW w:w="9388" w:type="dxa"/>
            <w:gridSpan w:val="4"/>
          </w:tcPr>
          <w:p w14:paraId="697A979F" w14:textId="77777777" w:rsidR="00CA6778" w:rsidRPr="00363E81" w:rsidRDefault="00C474D2" w:rsidP="00D54742">
            <w:pPr>
              <w:rPr>
                <w:bCs/>
              </w:rPr>
            </w:pPr>
            <w:r>
              <w:rPr>
                <w:bCs/>
              </w:rPr>
              <w:t>Yes – Homelessness Act 2002</w:t>
            </w:r>
          </w:p>
        </w:tc>
      </w:tr>
      <w:tr w:rsidR="00CA6778" w14:paraId="50A40002" w14:textId="77777777" w:rsidTr="00B72664">
        <w:trPr>
          <w:jc w:val="center"/>
        </w:trPr>
        <w:tc>
          <w:tcPr>
            <w:tcW w:w="5022" w:type="dxa"/>
            <w:shd w:val="clear" w:color="auto" w:fill="D9D9D9"/>
          </w:tcPr>
          <w:p w14:paraId="670DF487" w14:textId="77777777" w:rsidR="00CA6778" w:rsidRDefault="00CA6778" w:rsidP="004F0500">
            <w:r>
              <w:t>Are there any other organisations/bodies involved in implementation of this service/policy?</w:t>
            </w:r>
          </w:p>
        </w:tc>
        <w:tc>
          <w:tcPr>
            <w:tcW w:w="9388" w:type="dxa"/>
            <w:gridSpan w:val="4"/>
          </w:tcPr>
          <w:p w14:paraId="1D6ABE94" w14:textId="77777777" w:rsidR="00D3480F" w:rsidRPr="00363E81" w:rsidRDefault="00C474D2" w:rsidP="008D440C">
            <w:pPr>
              <w:rPr>
                <w:bCs/>
              </w:rPr>
            </w:pPr>
            <w:r>
              <w:rPr>
                <w:bCs/>
              </w:rPr>
              <w:t>Yes – various stakeholders also provide services to homeless and potentially homeless households.</w:t>
            </w:r>
          </w:p>
          <w:p w14:paraId="231DFDF2" w14:textId="77777777" w:rsidR="00CA6778" w:rsidRPr="00363E81" w:rsidRDefault="00CA6778" w:rsidP="008D440C">
            <w:pPr>
              <w:rPr>
                <w:bCs/>
              </w:rPr>
            </w:pPr>
          </w:p>
        </w:tc>
      </w:tr>
      <w:tr w:rsidR="00CA6778" w14:paraId="02E6F320" w14:textId="77777777" w:rsidTr="00B72664">
        <w:trPr>
          <w:jc w:val="center"/>
        </w:trPr>
        <w:tc>
          <w:tcPr>
            <w:tcW w:w="5022" w:type="dxa"/>
            <w:shd w:val="clear" w:color="auto" w:fill="D9D9D9"/>
          </w:tcPr>
          <w:p w14:paraId="3EA1376D" w14:textId="77777777" w:rsidR="00CA6778" w:rsidRDefault="00CA6778" w:rsidP="004F0500">
            <w:r>
              <w:t>Who are the main customer groups / stakeholders?</w:t>
            </w:r>
          </w:p>
        </w:tc>
        <w:tc>
          <w:tcPr>
            <w:tcW w:w="9388" w:type="dxa"/>
            <w:gridSpan w:val="4"/>
          </w:tcPr>
          <w:p w14:paraId="49D81D40" w14:textId="0810381C" w:rsidR="00CA6778" w:rsidRPr="00363E81" w:rsidRDefault="00D3480F" w:rsidP="00D54742">
            <w:pPr>
              <w:rPr>
                <w:bCs/>
              </w:rPr>
            </w:pPr>
            <w:r w:rsidRPr="00363E81">
              <w:rPr>
                <w:bCs/>
              </w:rPr>
              <w:t xml:space="preserve">Local residents </w:t>
            </w:r>
            <w:r w:rsidR="00363E81" w:rsidRPr="00363E81">
              <w:rPr>
                <w:bCs/>
              </w:rPr>
              <w:t>and communities</w:t>
            </w:r>
            <w:r w:rsidR="00C474D2">
              <w:rPr>
                <w:bCs/>
              </w:rPr>
              <w:t xml:space="preserve">, County Council, Registered </w:t>
            </w:r>
            <w:r w:rsidR="00404902">
              <w:rPr>
                <w:bCs/>
              </w:rPr>
              <w:t>P</w:t>
            </w:r>
            <w:r w:rsidR="00C474D2">
              <w:rPr>
                <w:bCs/>
              </w:rPr>
              <w:t xml:space="preserve">roviders, Health service providers, </w:t>
            </w:r>
            <w:r w:rsidR="00404902">
              <w:rPr>
                <w:bCs/>
              </w:rPr>
              <w:t>Probation</w:t>
            </w:r>
            <w:r w:rsidR="00C474D2">
              <w:rPr>
                <w:bCs/>
              </w:rPr>
              <w:t>, Prisons etc.</w:t>
            </w:r>
          </w:p>
        </w:tc>
      </w:tr>
      <w:tr w:rsidR="00CA6778" w14:paraId="7EECD753" w14:textId="77777777" w:rsidTr="00B72664">
        <w:trPr>
          <w:jc w:val="center"/>
        </w:trPr>
        <w:tc>
          <w:tcPr>
            <w:tcW w:w="5022" w:type="dxa"/>
            <w:shd w:val="clear" w:color="auto" w:fill="D9D9D9"/>
          </w:tcPr>
          <w:p w14:paraId="7109C20D" w14:textId="77777777" w:rsidR="00CA6778" w:rsidRDefault="00CA6778" w:rsidP="008D440C">
            <w:r>
              <w:t>What information are you using?</w:t>
            </w:r>
          </w:p>
          <w:p w14:paraId="1E666C1B" w14:textId="77777777" w:rsidR="00CA6778" w:rsidRDefault="00CA6778" w:rsidP="008D440C"/>
        </w:tc>
        <w:tc>
          <w:tcPr>
            <w:tcW w:w="9388" w:type="dxa"/>
            <w:gridSpan w:val="4"/>
          </w:tcPr>
          <w:p w14:paraId="5A4E0A45" w14:textId="0B013C76" w:rsidR="00CA6778" w:rsidRPr="00363E81" w:rsidRDefault="00363E81" w:rsidP="00C474D2">
            <w:pPr>
              <w:rPr>
                <w:bCs/>
              </w:rPr>
            </w:pPr>
            <w:r w:rsidRPr="00363E81">
              <w:rPr>
                <w:bCs/>
              </w:rPr>
              <w:t xml:space="preserve">Good practise </w:t>
            </w:r>
            <w:r w:rsidR="00C474D2">
              <w:rPr>
                <w:bCs/>
              </w:rPr>
              <w:t>and the legislation / code of guidance</w:t>
            </w:r>
          </w:p>
        </w:tc>
      </w:tr>
      <w:tr w:rsidR="00CA6778" w14:paraId="22CDD4A8" w14:textId="77777777" w:rsidTr="00B72664">
        <w:trPr>
          <w:jc w:val="center"/>
        </w:trPr>
        <w:tc>
          <w:tcPr>
            <w:tcW w:w="14410" w:type="dxa"/>
            <w:gridSpan w:val="5"/>
            <w:shd w:val="clear" w:color="auto" w:fill="99CC00"/>
          </w:tcPr>
          <w:p w14:paraId="5F0D7852" w14:textId="77777777" w:rsidR="00CA6778" w:rsidRPr="008D440C" w:rsidRDefault="00CA6778" w:rsidP="008D440C">
            <w:pPr>
              <w:rPr>
                <w:b/>
                <w:bCs/>
              </w:rPr>
            </w:pPr>
            <w:r w:rsidRPr="008D440C">
              <w:rPr>
                <w:b/>
                <w:bCs/>
              </w:rPr>
              <w:t>What impact does the service/policy have on the following equality strands:</w:t>
            </w:r>
          </w:p>
        </w:tc>
      </w:tr>
      <w:tr w:rsidR="00CA6778" w14:paraId="53414162" w14:textId="77777777" w:rsidTr="00B72664">
        <w:trPr>
          <w:jc w:val="center"/>
        </w:trPr>
        <w:tc>
          <w:tcPr>
            <w:tcW w:w="5022" w:type="dxa"/>
            <w:shd w:val="clear" w:color="auto" w:fill="D9D9D9"/>
          </w:tcPr>
          <w:p w14:paraId="4D63F5F7" w14:textId="77777777" w:rsidR="00CA6778" w:rsidRDefault="00CA6778" w:rsidP="008D440C">
            <w:pPr>
              <w:ind w:left="426" w:hanging="426"/>
            </w:pPr>
            <w:r>
              <w:rPr>
                <w:b/>
              </w:rPr>
              <w:t>Black and minority ethnic</w:t>
            </w:r>
          </w:p>
          <w:p w14:paraId="0EDFE2C5" w14:textId="77777777" w:rsidR="00CA6778" w:rsidRDefault="00CA6778" w:rsidP="00DF405A">
            <w:r>
              <w:lastRenderedPageBreak/>
              <w:t>Impact on different ethnic groups, inc migrant communities and Gypsies/Roma/Travellers</w:t>
            </w:r>
          </w:p>
        </w:tc>
        <w:tc>
          <w:tcPr>
            <w:tcW w:w="9388" w:type="dxa"/>
            <w:gridSpan w:val="4"/>
          </w:tcPr>
          <w:p w14:paraId="3E0B5178" w14:textId="77777777" w:rsidR="004F0500" w:rsidRPr="00D54742" w:rsidRDefault="00CA6778" w:rsidP="00D54742">
            <w:pPr>
              <w:rPr>
                <w:b/>
              </w:rPr>
            </w:pPr>
            <w:r>
              <w:rPr>
                <w:b/>
              </w:rPr>
              <w:lastRenderedPageBreak/>
              <w:t>Neutral, not a factor in service consideration or delivery</w:t>
            </w:r>
          </w:p>
        </w:tc>
      </w:tr>
      <w:tr w:rsidR="00CA6778" w14:paraId="3E6A5114" w14:textId="77777777" w:rsidTr="00B72664">
        <w:trPr>
          <w:jc w:val="center"/>
        </w:trPr>
        <w:tc>
          <w:tcPr>
            <w:tcW w:w="5022" w:type="dxa"/>
            <w:shd w:val="clear" w:color="auto" w:fill="D9D9D9"/>
          </w:tcPr>
          <w:p w14:paraId="09762FCF" w14:textId="77777777" w:rsidR="00CA6778" w:rsidRDefault="00CA6778" w:rsidP="00855FAC">
            <w:pPr>
              <w:rPr>
                <w:b/>
              </w:rPr>
            </w:pPr>
            <w:r>
              <w:rPr>
                <w:b/>
              </w:rPr>
              <w:t>Disability</w:t>
            </w:r>
          </w:p>
          <w:p w14:paraId="1614DE8F" w14:textId="77777777" w:rsidR="00CA6778" w:rsidRDefault="00CA6778" w:rsidP="004F0500">
            <w:r>
              <w:t>Impact on people with disabilities, inc physical, sensory and learning disabilities, mental health issues and long-term limiting illnesses</w:t>
            </w:r>
          </w:p>
        </w:tc>
        <w:tc>
          <w:tcPr>
            <w:tcW w:w="9388" w:type="dxa"/>
            <w:gridSpan w:val="4"/>
          </w:tcPr>
          <w:p w14:paraId="39AADCEE" w14:textId="77777777" w:rsidR="00CA6778" w:rsidRDefault="00CA6778" w:rsidP="008D440C">
            <w:pPr>
              <w:rPr>
                <w:b/>
              </w:rPr>
            </w:pPr>
            <w:r>
              <w:rPr>
                <w:b/>
              </w:rPr>
              <w:t>Neutral, not a factor in service consideration or delivery</w:t>
            </w:r>
          </w:p>
          <w:p w14:paraId="6AEA6D27" w14:textId="77777777" w:rsidR="00CA6778" w:rsidRPr="00547342" w:rsidRDefault="00CA6778" w:rsidP="008D440C"/>
        </w:tc>
      </w:tr>
      <w:tr w:rsidR="00CA6778" w14:paraId="1A900948" w14:textId="77777777" w:rsidTr="00B72664">
        <w:trPr>
          <w:jc w:val="center"/>
        </w:trPr>
        <w:tc>
          <w:tcPr>
            <w:tcW w:w="5022" w:type="dxa"/>
            <w:shd w:val="clear" w:color="auto" w:fill="D9D9D9"/>
          </w:tcPr>
          <w:p w14:paraId="0FB532ED" w14:textId="77777777" w:rsidR="00CA6778" w:rsidRDefault="00CA6778" w:rsidP="008D440C">
            <w:r>
              <w:rPr>
                <w:b/>
              </w:rPr>
              <w:t>Gender</w:t>
            </w:r>
          </w:p>
          <w:p w14:paraId="356F6C97" w14:textId="77777777" w:rsidR="00CA6778" w:rsidRDefault="00CA6778" w:rsidP="004F0500">
            <w:r>
              <w:t>Impact on people of different genders, inc transgender</w:t>
            </w:r>
          </w:p>
        </w:tc>
        <w:tc>
          <w:tcPr>
            <w:tcW w:w="9388" w:type="dxa"/>
            <w:gridSpan w:val="4"/>
          </w:tcPr>
          <w:p w14:paraId="0EA5A311" w14:textId="77777777" w:rsidR="00CA6778" w:rsidRDefault="00CA6778" w:rsidP="00B835FA">
            <w:pPr>
              <w:rPr>
                <w:b/>
              </w:rPr>
            </w:pPr>
            <w:r>
              <w:rPr>
                <w:b/>
              </w:rPr>
              <w:t>Neutral, not a factor in service consideration or delivery</w:t>
            </w:r>
          </w:p>
          <w:p w14:paraId="036D7E39" w14:textId="77777777" w:rsidR="00CA6778" w:rsidRDefault="00CA6778" w:rsidP="008D440C"/>
        </w:tc>
      </w:tr>
      <w:tr w:rsidR="00CA6778" w14:paraId="39DE1E28" w14:textId="77777777" w:rsidTr="00B72664">
        <w:trPr>
          <w:jc w:val="center"/>
        </w:trPr>
        <w:tc>
          <w:tcPr>
            <w:tcW w:w="5022" w:type="dxa"/>
            <w:shd w:val="clear" w:color="auto" w:fill="D9D9D9"/>
          </w:tcPr>
          <w:p w14:paraId="22C0C7F4" w14:textId="77777777" w:rsidR="00CA6778" w:rsidRDefault="00CA6778" w:rsidP="008D440C">
            <w:r>
              <w:rPr>
                <w:b/>
              </w:rPr>
              <w:t>Age</w:t>
            </w:r>
          </w:p>
          <w:p w14:paraId="58C3A957" w14:textId="77777777" w:rsidR="00CA6778" w:rsidRDefault="00CA6778" w:rsidP="004F0500">
            <w:r>
              <w:t>Impact on people of all ages, inc younger and older people</w:t>
            </w:r>
          </w:p>
        </w:tc>
        <w:tc>
          <w:tcPr>
            <w:tcW w:w="9388" w:type="dxa"/>
            <w:gridSpan w:val="4"/>
          </w:tcPr>
          <w:p w14:paraId="6544564E" w14:textId="77777777" w:rsidR="00CA6778" w:rsidRDefault="00CA6778" w:rsidP="00B835FA">
            <w:pPr>
              <w:rPr>
                <w:b/>
              </w:rPr>
            </w:pPr>
            <w:r>
              <w:rPr>
                <w:b/>
              </w:rPr>
              <w:t>Neutral, not a factor in service consideration or delivery</w:t>
            </w:r>
          </w:p>
          <w:p w14:paraId="09AFD72A" w14:textId="77777777" w:rsidR="00CA6778" w:rsidRDefault="00CA6778" w:rsidP="008D440C"/>
        </w:tc>
      </w:tr>
      <w:tr w:rsidR="00CA6778" w14:paraId="74394387" w14:textId="77777777" w:rsidTr="00B72664">
        <w:trPr>
          <w:jc w:val="center"/>
        </w:trPr>
        <w:tc>
          <w:tcPr>
            <w:tcW w:w="5022" w:type="dxa"/>
            <w:shd w:val="clear" w:color="auto" w:fill="D9D9D9"/>
          </w:tcPr>
          <w:p w14:paraId="1937AB57" w14:textId="77777777" w:rsidR="00CA6778" w:rsidRDefault="00CA6778" w:rsidP="008D440C">
            <w:pPr>
              <w:rPr>
                <w:b/>
              </w:rPr>
            </w:pPr>
            <w:r>
              <w:rPr>
                <w:b/>
              </w:rPr>
              <w:t>Sexual orientation</w:t>
            </w:r>
          </w:p>
          <w:p w14:paraId="07B4F509" w14:textId="77777777" w:rsidR="00CA6778" w:rsidRDefault="00CA6778" w:rsidP="004F0500">
            <w:r>
              <w:t>Impact on people who are gay, lesbian or bisexual</w:t>
            </w:r>
          </w:p>
        </w:tc>
        <w:tc>
          <w:tcPr>
            <w:tcW w:w="9388" w:type="dxa"/>
            <w:gridSpan w:val="4"/>
          </w:tcPr>
          <w:p w14:paraId="4429183C" w14:textId="77777777" w:rsidR="00CA6778" w:rsidRDefault="00CA6778" w:rsidP="00B835FA">
            <w:pPr>
              <w:rPr>
                <w:b/>
              </w:rPr>
            </w:pPr>
            <w:r>
              <w:rPr>
                <w:b/>
              </w:rPr>
              <w:t>Neutral, not a factor in service consideration or delivery</w:t>
            </w:r>
          </w:p>
          <w:p w14:paraId="779397F3" w14:textId="77777777" w:rsidR="00CA6778" w:rsidRDefault="00CA6778" w:rsidP="008D440C"/>
        </w:tc>
      </w:tr>
      <w:tr w:rsidR="00CA6778" w14:paraId="298BF7F5" w14:textId="77777777" w:rsidTr="005C6890">
        <w:trPr>
          <w:jc w:val="center"/>
        </w:trPr>
        <w:tc>
          <w:tcPr>
            <w:tcW w:w="5022" w:type="dxa"/>
            <w:shd w:val="clear" w:color="auto" w:fill="D9D9D9"/>
          </w:tcPr>
          <w:p w14:paraId="53E094CB" w14:textId="77777777" w:rsidR="00CA6778" w:rsidRDefault="00CA6778" w:rsidP="008D440C">
            <w:pPr>
              <w:rPr>
                <w:b/>
              </w:rPr>
            </w:pPr>
            <w:r>
              <w:rPr>
                <w:b/>
              </w:rPr>
              <w:t>Religion or belief</w:t>
            </w:r>
          </w:p>
          <w:p w14:paraId="69B9083C" w14:textId="77777777" w:rsidR="00CA6778" w:rsidRDefault="00CA6778" w:rsidP="004F0500">
            <w:r>
              <w:t>Impact on people who practise different religions or have different beliefs (inc non-belief)</w:t>
            </w:r>
          </w:p>
        </w:tc>
        <w:tc>
          <w:tcPr>
            <w:tcW w:w="9388" w:type="dxa"/>
            <w:gridSpan w:val="4"/>
          </w:tcPr>
          <w:p w14:paraId="7A7DD37D" w14:textId="77777777" w:rsidR="00CA6778" w:rsidRDefault="00CA6778" w:rsidP="00B835FA">
            <w:pPr>
              <w:rPr>
                <w:b/>
              </w:rPr>
            </w:pPr>
            <w:r>
              <w:rPr>
                <w:b/>
              </w:rPr>
              <w:t>Neutral, not a factor in service consideration or delivery</w:t>
            </w:r>
          </w:p>
          <w:p w14:paraId="48275F9D" w14:textId="77777777" w:rsidR="00CA6778" w:rsidRDefault="00CA6778" w:rsidP="008D440C"/>
        </w:tc>
      </w:tr>
      <w:tr w:rsidR="00CA6778" w14:paraId="2407C2B8" w14:textId="77777777" w:rsidTr="00B72664">
        <w:trPr>
          <w:jc w:val="center"/>
        </w:trPr>
        <w:tc>
          <w:tcPr>
            <w:tcW w:w="5022" w:type="dxa"/>
            <w:shd w:val="clear" w:color="auto" w:fill="D9D9D9"/>
          </w:tcPr>
          <w:p w14:paraId="79B43762" w14:textId="77777777" w:rsidR="00CA6778" w:rsidRDefault="00CA6778" w:rsidP="008D440C">
            <w:pPr>
              <w:rPr>
                <w:b/>
              </w:rPr>
            </w:pPr>
            <w:r>
              <w:rPr>
                <w:b/>
              </w:rPr>
              <w:t>Other</w:t>
            </w:r>
          </w:p>
          <w:p w14:paraId="11BDB273" w14:textId="77777777" w:rsidR="00CA6778" w:rsidRDefault="00CA6778" w:rsidP="008D440C">
            <w:pPr>
              <w:rPr>
                <w:bCs/>
              </w:rPr>
            </w:pPr>
            <w:r>
              <w:rPr>
                <w:bCs/>
              </w:rPr>
              <w:t>e.g.  Deprivation, health inequalities, urban/rural divide, community safety.</w:t>
            </w:r>
          </w:p>
          <w:p w14:paraId="3573A564" w14:textId="77777777" w:rsidR="00CA6778" w:rsidRPr="00DF405A" w:rsidRDefault="00CA6778" w:rsidP="008D440C">
            <w:pPr>
              <w:rPr>
                <w:bCs/>
              </w:rPr>
            </w:pPr>
          </w:p>
        </w:tc>
        <w:tc>
          <w:tcPr>
            <w:tcW w:w="9388" w:type="dxa"/>
            <w:gridSpan w:val="4"/>
          </w:tcPr>
          <w:p w14:paraId="309CCF56" w14:textId="489F51FE" w:rsidR="00CA6778" w:rsidRPr="00490818" w:rsidRDefault="00547342" w:rsidP="004F0500">
            <w:r w:rsidRPr="00490818">
              <w:t xml:space="preserve">Positive effect on </w:t>
            </w:r>
            <w:r w:rsidR="00490818" w:rsidRPr="00490818">
              <w:t>helping open up the range of housing options available</w:t>
            </w:r>
            <w:r w:rsidR="00404902">
              <w:t xml:space="preserve"> and reducing the impacts on homeless households</w:t>
            </w:r>
          </w:p>
          <w:p w14:paraId="0ACAE033" w14:textId="77777777" w:rsidR="00CA6778" w:rsidRPr="00490818" w:rsidRDefault="00CA6778" w:rsidP="008D440C"/>
        </w:tc>
      </w:tr>
      <w:tr w:rsidR="00CA6778" w14:paraId="1B312682" w14:textId="77777777" w:rsidTr="00B72664">
        <w:trPr>
          <w:jc w:val="center"/>
        </w:trPr>
        <w:tc>
          <w:tcPr>
            <w:tcW w:w="7323" w:type="dxa"/>
            <w:gridSpan w:val="2"/>
          </w:tcPr>
          <w:p w14:paraId="58C5DD8A" w14:textId="77777777" w:rsidR="00CA6778" w:rsidRDefault="00CA6778" w:rsidP="008D440C">
            <w:pPr>
              <w:rPr>
                <w:b/>
              </w:rPr>
            </w:pPr>
            <w:r>
              <w:rPr>
                <w:b/>
              </w:rPr>
              <w:t>Conclusion</w:t>
            </w:r>
          </w:p>
          <w:p w14:paraId="39D0E906" w14:textId="77777777" w:rsidR="00CA6778" w:rsidRDefault="00CA6778" w:rsidP="008D440C">
            <w:pPr>
              <w:rPr>
                <w:b/>
              </w:rPr>
            </w:pPr>
            <w:r>
              <w:rPr>
                <w:b/>
              </w:rPr>
              <w:t>Service delivery led by statutory requirements and criteria around service delivery are not affected by any inequalities.</w:t>
            </w:r>
            <w:r w:rsidR="00E76B04">
              <w:rPr>
                <w:b/>
              </w:rPr>
              <w:t xml:space="preserve"> </w:t>
            </w:r>
          </w:p>
          <w:p w14:paraId="1E88689E" w14:textId="77777777" w:rsidR="00C16DFB" w:rsidRDefault="00C16DFB" w:rsidP="008D440C">
            <w:pPr>
              <w:rPr>
                <w:color w:val="008000"/>
              </w:rPr>
            </w:pPr>
          </w:p>
        </w:tc>
        <w:tc>
          <w:tcPr>
            <w:tcW w:w="7087" w:type="dxa"/>
            <w:gridSpan w:val="3"/>
          </w:tcPr>
          <w:p w14:paraId="72223C47" w14:textId="77777777" w:rsidR="00CA6778" w:rsidRDefault="00CA6778" w:rsidP="00B835FA">
            <w:r>
              <w:t xml:space="preserve">Is a full assessment required?        </w:t>
            </w:r>
            <w:r w:rsidRPr="00B835FA">
              <w:rPr>
                <w:b/>
                <w:bCs/>
              </w:rPr>
              <w:t>NO</w:t>
            </w:r>
          </w:p>
          <w:p w14:paraId="266F698E" w14:textId="77777777" w:rsidR="00CA6778" w:rsidRDefault="00CA6778" w:rsidP="008D440C"/>
        </w:tc>
      </w:tr>
      <w:tr w:rsidR="00CA6778" w14:paraId="4A9CDDC5" w14:textId="77777777" w:rsidTr="00C16DFB">
        <w:trPr>
          <w:trHeight w:val="983"/>
          <w:jc w:val="center"/>
        </w:trPr>
        <w:tc>
          <w:tcPr>
            <w:tcW w:w="7323" w:type="dxa"/>
            <w:gridSpan w:val="2"/>
          </w:tcPr>
          <w:p w14:paraId="479F0C5D" w14:textId="77777777" w:rsidR="00CA6778" w:rsidRDefault="00CA6778" w:rsidP="008D440C">
            <w:pPr>
              <w:rPr>
                <w:b/>
              </w:rPr>
            </w:pPr>
            <w:r>
              <w:rPr>
                <w:b/>
              </w:rPr>
              <w:t>Signed</w:t>
            </w:r>
          </w:p>
          <w:p w14:paraId="3BAA1C09" w14:textId="77777777" w:rsidR="00D71ADA" w:rsidRDefault="00F41688" w:rsidP="008D440C">
            <w:pPr>
              <w:rPr>
                <w:b/>
              </w:rPr>
            </w:pPr>
            <w:r>
              <w:rPr>
                <w:noProof/>
              </w:rPr>
              <w:drawing>
                <wp:inline distT="0" distB="0" distL="0" distR="0" wp14:anchorId="38137EAA" wp14:editId="5EEF19D2">
                  <wp:extent cx="1176421" cy="504825"/>
                  <wp:effectExtent l="19050" t="0" r="467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176421" cy="504825"/>
                          </a:xfrm>
                          <a:prstGeom prst="rect">
                            <a:avLst/>
                          </a:prstGeom>
                          <a:noFill/>
                          <a:ln w="9525">
                            <a:noFill/>
                            <a:miter lim="800000"/>
                            <a:headEnd/>
                            <a:tailEnd/>
                          </a:ln>
                        </pic:spPr>
                      </pic:pic>
                    </a:graphicData>
                  </a:graphic>
                </wp:inline>
              </w:drawing>
            </w:r>
          </w:p>
          <w:p w14:paraId="08024D5B" w14:textId="77777777" w:rsidR="00471A0E" w:rsidRDefault="00471A0E" w:rsidP="008D440C">
            <w:pPr>
              <w:rPr>
                <w:b/>
              </w:rPr>
            </w:pPr>
          </w:p>
        </w:tc>
        <w:tc>
          <w:tcPr>
            <w:tcW w:w="7087" w:type="dxa"/>
            <w:gridSpan w:val="3"/>
          </w:tcPr>
          <w:p w14:paraId="5B5E457E" w14:textId="1BBB579A" w:rsidR="00CA6778" w:rsidRDefault="00CA6778" w:rsidP="00C474D2">
            <w:r>
              <w:t>Date</w:t>
            </w:r>
            <w:r w:rsidR="00C474D2">
              <w:t>:</w:t>
            </w:r>
            <w:r w:rsidR="00404902">
              <w:t xml:space="preserve"> </w:t>
            </w:r>
            <w:r w:rsidR="001A3579">
              <w:t xml:space="preserve">16 January </w:t>
            </w:r>
            <w:r w:rsidR="00404902">
              <w:t>2023</w:t>
            </w:r>
          </w:p>
        </w:tc>
      </w:tr>
      <w:tr w:rsidR="00CA6778" w14:paraId="28C700AE" w14:textId="77777777" w:rsidTr="00B835FA">
        <w:trPr>
          <w:trHeight w:val="582"/>
          <w:jc w:val="center"/>
        </w:trPr>
        <w:tc>
          <w:tcPr>
            <w:tcW w:w="14410" w:type="dxa"/>
            <w:gridSpan w:val="5"/>
            <w:shd w:val="clear" w:color="auto" w:fill="D9D9D9"/>
          </w:tcPr>
          <w:p w14:paraId="01B8C76B" w14:textId="77777777" w:rsidR="00CA6778" w:rsidRPr="005C6890" w:rsidRDefault="00CA6778" w:rsidP="005C6890">
            <w:pPr>
              <w:jc w:val="center"/>
              <w:rPr>
                <w:b/>
              </w:rPr>
            </w:pPr>
            <w:r>
              <w:rPr>
                <w:b/>
              </w:rPr>
              <w:t xml:space="preserve">A </w:t>
            </w:r>
            <w:r w:rsidRPr="005C6890">
              <w:rPr>
                <w:b/>
              </w:rPr>
              <w:t xml:space="preserve">full </w:t>
            </w:r>
            <w:r>
              <w:rPr>
                <w:b/>
              </w:rPr>
              <w:t xml:space="preserve">EIA </w:t>
            </w:r>
            <w:r w:rsidRPr="005C6890">
              <w:rPr>
                <w:b/>
              </w:rPr>
              <w:t>is required if the initial screening has identified the service or policy is going to have the potential to cause adverse impact or discriminate against different groups in the community</w:t>
            </w:r>
          </w:p>
        </w:tc>
      </w:tr>
    </w:tbl>
    <w:p w14:paraId="7571DE83" w14:textId="77777777" w:rsidR="00CA6778" w:rsidRDefault="00CA6778"/>
    <w:sectPr w:rsidR="00CA6778" w:rsidSect="00B835FA">
      <w:pgSz w:w="16838" w:h="11906" w:orient="landscape"/>
      <w:pgMar w:top="993" w:right="1440" w:bottom="56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BBACD2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C3E4A95"/>
    <w:multiLevelType w:val="hybridMultilevel"/>
    <w:tmpl w:val="07DE23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1006FA1"/>
    <w:multiLevelType w:val="hybridMultilevel"/>
    <w:tmpl w:val="654A4454"/>
    <w:lvl w:ilvl="0" w:tplc="FFFFFFFF">
      <w:start w:val="9"/>
      <w:numFmt w:val="decimal"/>
      <w:lvlText w:val="%1."/>
      <w:lvlJc w:val="left"/>
      <w:pPr>
        <w:ind w:left="765" w:hanging="360"/>
      </w:pPr>
      <w:rPr>
        <w:rFonts w:cs="Times New Roman" w:hint="default"/>
      </w:rPr>
    </w:lvl>
    <w:lvl w:ilvl="1" w:tplc="FFFFFFFF" w:tentative="1">
      <w:start w:val="1"/>
      <w:numFmt w:val="lowerLetter"/>
      <w:lvlText w:val="%2."/>
      <w:lvlJc w:val="left"/>
      <w:pPr>
        <w:ind w:left="1485" w:hanging="360"/>
      </w:pPr>
      <w:rPr>
        <w:rFonts w:cs="Times New Roman"/>
      </w:rPr>
    </w:lvl>
    <w:lvl w:ilvl="2" w:tplc="FFFFFFFF" w:tentative="1">
      <w:start w:val="1"/>
      <w:numFmt w:val="lowerRoman"/>
      <w:lvlText w:val="%3."/>
      <w:lvlJc w:val="right"/>
      <w:pPr>
        <w:ind w:left="2205" w:hanging="180"/>
      </w:pPr>
      <w:rPr>
        <w:rFonts w:cs="Times New Roman"/>
      </w:rPr>
    </w:lvl>
    <w:lvl w:ilvl="3" w:tplc="FFFFFFFF" w:tentative="1">
      <w:start w:val="1"/>
      <w:numFmt w:val="decimal"/>
      <w:lvlText w:val="%4."/>
      <w:lvlJc w:val="left"/>
      <w:pPr>
        <w:ind w:left="2925" w:hanging="360"/>
      </w:pPr>
      <w:rPr>
        <w:rFonts w:cs="Times New Roman"/>
      </w:rPr>
    </w:lvl>
    <w:lvl w:ilvl="4" w:tplc="FFFFFFFF" w:tentative="1">
      <w:start w:val="1"/>
      <w:numFmt w:val="lowerLetter"/>
      <w:lvlText w:val="%5."/>
      <w:lvlJc w:val="left"/>
      <w:pPr>
        <w:ind w:left="3645" w:hanging="360"/>
      </w:pPr>
      <w:rPr>
        <w:rFonts w:cs="Times New Roman"/>
      </w:rPr>
    </w:lvl>
    <w:lvl w:ilvl="5" w:tplc="FFFFFFFF" w:tentative="1">
      <w:start w:val="1"/>
      <w:numFmt w:val="lowerRoman"/>
      <w:lvlText w:val="%6."/>
      <w:lvlJc w:val="right"/>
      <w:pPr>
        <w:ind w:left="4365" w:hanging="180"/>
      </w:pPr>
      <w:rPr>
        <w:rFonts w:cs="Times New Roman"/>
      </w:rPr>
    </w:lvl>
    <w:lvl w:ilvl="6" w:tplc="FFFFFFFF" w:tentative="1">
      <w:start w:val="1"/>
      <w:numFmt w:val="decimal"/>
      <w:lvlText w:val="%7."/>
      <w:lvlJc w:val="left"/>
      <w:pPr>
        <w:ind w:left="5085" w:hanging="360"/>
      </w:pPr>
      <w:rPr>
        <w:rFonts w:cs="Times New Roman"/>
      </w:rPr>
    </w:lvl>
    <w:lvl w:ilvl="7" w:tplc="FFFFFFFF" w:tentative="1">
      <w:start w:val="1"/>
      <w:numFmt w:val="lowerLetter"/>
      <w:lvlText w:val="%8."/>
      <w:lvlJc w:val="left"/>
      <w:pPr>
        <w:ind w:left="5805" w:hanging="360"/>
      </w:pPr>
      <w:rPr>
        <w:rFonts w:cs="Times New Roman"/>
      </w:rPr>
    </w:lvl>
    <w:lvl w:ilvl="8" w:tplc="FFFFFFFF" w:tentative="1">
      <w:start w:val="1"/>
      <w:numFmt w:val="lowerRoman"/>
      <w:lvlText w:val="%9."/>
      <w:lvlJc w:val="right"/>
      <w:pPr>
        <w:ind w:left="6525" w:hanging="180"/>
      </w:pPr>
      <w:rPr>
        <w:rFonts w:cs="Times New Roman"/>
      </w:rPr>
    </w:lvl>
  </w:abstractNum>
  <w:abstractNum w:abstractNumId="3" w15:restartNumberingAfterBreak="0">
    <w:nsid w:val="478F6DF8"/>
    <w:multiLevelType w:val="hybridMultilevel"/>
    <w:tmpl w:val="EC98164A"/>
    <w:lvl w:ilvl="0" w:tplc="8CE0062E">
      <w:start w:val="1"/>
      <w:numFmt w:val="bullet"/>
      <w:lvlText w:val=""/>
      <w:lvlJc w:val="left"/>
      <w:pPr>
        <w:ind w:left="720" w:hanging="360"/>
      </w:pPr>
      <w:rPr>
        <w:rFonts w:ascii="Symbol" w:hAnsi="Symbol" w:hint="default"/>
        <w:b/>
        <w:color w:val="99CC0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8132BCC"/>
    <w:multiLevelType w:val="hybridMultilevel"/>
    <w:tmpl w:val="8402B780"/>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63E22604"/>
    <w:multiLevelType w:val="hybridMultilevel"/>
    <w:tmpl w:val="274AAE30"/>
    <w:lvl w:ilvl="0" w:tplc="FFFFFFFF">
      <w:start w:val="1"/>
      <w:numFmt w:val="decimal"/>
      <w:lvlText w:val="%1."/>
      <w:lvlJc w:val="left"/>
      <w:pPr>
        <w:ind w:left="765" w:hanging="360"/>
      </w:pPr>
      <w:rPr>
        <w:rFonts w:cs="Times New Roman"/>
      </w:rPr>
    </w:lvl>
    <w:lvl w:ilvl="1" w:tplc="FFFFFFFF" w:tentative="1">
      <w:start w:val="1"/>
      <w:numFmt w:val="lowerLetter"/>
      <w:lvlText w:val="%2."/>
      <w:lvlJc w:val="left"/>
      <w:pPr>
        <w:ind w:left="1485" w:hanging="360"/>
      </w:pPr>
      <w:rPr>
        <w:rFonts w:cs="Times New Roman"/>
      </w:rPr>
    </w:lvl>
    <w:lvl w:ilvl="2" w:tplc="FFFFFFFF">
      <w:start w:val="1"/>
      <w:numFmt w:val="lowerRoman"/>
      <w:lvlText w:val="%3."/>
      <w:lvlJc w:val="right"/>
      <w:pPr>
        <w:ind w:left="2205" w:hanging="180"/>
      </w:pPr>
      <w:rPr>
        <w:rFonts w:cs="Times New Roman"/>
      </w:rPr>
    </w:lvl>
    <w:lvl w:ilvl="3" w:tplc="FFFFFFFF" w:tentative="1">
      <w:start w:val="1"/>
      <w:numFmt w:val="decimal"/>
      <w:lvlText w:val="%4."/>
      <w:lvlJc w:val="left"/>
      <w:pPr>
        <w:ind w:left="2925" w:hanging="360"/>
      </w:pPr>
      <w:rPr>
        <w:rFonts w:cs="Times New Roman"/>
      </w:rPr>
    </w:lvl>
    <w:lvl w:ilvl="4" w:tplc="FFFFFFFF" w:tentative="1">
      <w:start w:val="1"/>
      <w:numFmt w:val="lowerLetter"/>
      <w:lvlText w:val="%5."/>
      <w:lvlJc w:val="left"/>
      <w:pPr>
        <w:ind w:left="3645" w:hanging="360"/>
      </w:pPr>
      <w:rPr>
        <w:rFonts w:cs="Times New Roman"/>
      </w:rPr>
    </w:lvl>
    <w:lvl w:ilvl="5" w:tplc="FFFFFFFF" w:tentative="1">
      <w:start w:val="1"/>
      <w:numFmt w:val="lowerRoman"/>
      <w:lvlText w:val="%6."/>
      <w:lvlJc w:val="right"/>
      <w:pPr>
        <w:ind w:left="4365" w:hanging="180"/>
      </w:pPr>
      <w:rPr>
        <w:rFonts w:cs="Times New Roman"/>
      </w:rPr>
    </w:lvl>
    <w:lvl w:ilvl="6" w:tplc="FFFFFFFF" w:tentative="1">
      <w:start w:val="1"/>
      <w:numFmt w:val="decimal"/>
      <w:lvlText w:val="%7."/>
      <w:lvlJc w:val="left"/>
      <w:pPr>
        <w:ind w:left="5085" w:hanging="360"/>
      </w:pPr>
      <w:rPr>
        <w:rFonts w:cs="Times New Roman"/>
      </w:rPr>
    </w:lvl>
    <w:lvl w:ilvl="7" w:tplc="FFFFFFFF" w:tentative="1">
      <w:start w:val="1"/>
      <w:numFmt w:val="lowerLetter"/>
      <w:lvlText w:val="%8."/>
      <w:lvlJc w:val="left"/>
      <w:pPr>
        <w:ind w:left="5805" w:hanging="360"/>
      </w:pPr>
      <w:rPr>
        <w:rFonts w:cs="Times New Roman"/>
      </w:rPr>
    </w:lvl>
    <w:lvl w:ilvl="8" w:tplc="FFFFFFFF" w:tentative="1">
      <w:start w:val="1"/>
      <w:numFmt w:val="lowerRoman"/>
      <w:lvlText w:val="%9."/>
      <w:lvlJc w:val="right"/>
      <w:pPr>
        <w:ind w:left="6525" w:hanging="180"/>
      </w:pPr>
      <w:rPr>
        <w:rFonts w:cs="Times New Roman"/>
      </w:rPr>
    </w:lvl>
  </w:abstractNum>
  <w:num w:numId="1" w16cid:durableId="1494299593">
    <w:abstractNumId w:val="5"/>
  </w:num>
  <w:num w:numId="2" w16cid:durableId="2027050869">
    <w:abstractNumId w:val="4"/>
  </w:num>
  <w:num w:numId="3" w16cid:durableId="2096977340">
    <w:abstractNumId w:val="2"/>
  </w:num>
  <w:num w:numId="4" w16cid:durableId="1243024915">
    <w:abstractNumId w:val="3"/>
  </w:num>
  <w:num w:numId="5" w16cid:durableId="2067222679">
    <w:abstractNumId w:val="0"/>
  </w:num>
  <w:num w:numId="6" w16cid:durableId="546337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FAC"/>
    <w:rsid w:val="0019588D"/>
    <w:rsid w:val="001A3579"/>
    <w:rsid w:val="00206E57"/>
    <w:rsid w:val="00260311"/>
    <w:rsid w:val="00265C29"/>
    <w:rsid w:val="002B4129"/>
    <w:rsid w:val="0034774F"/>
    <w:rsid w:val="00363E81"/>
    <w:rsid w:val="00404902"/>
    <w:rsid w:val="004541B5"/>
    <w:rsid w:val="00466C16"/>
    <w:rsid w:val="00471A0E"/>
    <w:rsid w:val="00490818"/>
    <w:rsid w:val="004C4504"/>
    <w:rsid w:val="004D48B4"/>
    <w:rsid w:val="004F0500"/>
    <w:rsid w:val="00515D55"/>
    <w:rsid w:val="00547342"/>
    <w:rsid w:val="00560E90"/>
    <w:rsid w:val="005B726B"/>
    <w:rsid w:val="005C6890"/>
    <w:rsid w:val="005F16FC"/>
    <w:rsid w:val="00680D54"/>
    <w:rsid w:val="00694958"/>
    <w:rsid w:val="00764193"/>
    <w:rsid w:val="00794137"/>
    <w:rsid w:val="007E11AE"/>
    <w:rsid w:val="0081397A"/>
    <w:rsid w:val="00855FAC"/>
    <w:rsid w:val="00856178"/>
    <w:rsid w:val="00856B97"/>
    <w:rsid w:val="0086298D"/>
    <w:rsid w:val="008D440C"/>
    <w:rsid w:val="00962F08"/>
    <w:rsid w:val="009916AB"/>
    <w:rsid w:val="00A7646D"/>
    <w:rsid w:val="00A91D4D"/>
    <w:rsid w:val="00AA3721"/>
    <w:rsid w:val="00B0524A"/>
    <w:rsid w:val="00B6357E"/>
    <w:rsid w:val="00B72664"/>
    <w:rsid w:val="00B835FA"/>
    <w:rsid w:val="00BB1A9E"/>
    <w:rsid w:val="00C07C8C"/>
    <w:rsid w:val="00C16DFB"/>
    <w:rsid w:val="00C474D2"/>
    <w:rsid w:val="00C52E04"/>
    <w:rsid w:val="00CA6778"/>
    <w:rsid w:val="00D32A65"/>
    <w:rsid w:val="00D3480F"/>
    <w:rsid w:val="00D50CA7"/>
    <w:rsid w:val="00D54742"/>
    <w:rsid w:val="00D71ADA"/>
    <w:rsid w:val="00DD736F"/>
    <w:rsid w:val="00DE01BF"/>
    <w:rsid w:val="00DF20EF"/>
    <w:rsid w:val="00DF405A"/>
    <w:rsid w:val="00E03D9D"/>
    <w:rsid w:val="00E72F99"/>
    <w:rsid w:val="00E76B04"/>
    <w:rsid w:val="00F41688"/>
    <w:rsid w:val="00F62B3E"/>
    <w:rsid w:val="00FC0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B3CC5E"/>
  <w15:docId w15:val="{066E94FD-152A-4033-AAEC-9EBCAB123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FAC"/>
    <w:rPr>
      <w:rFonts w:ascii="Arial" w:hAnsi="Arial" w:cs="Arial"/>
      <w:sz w:val="24"/>
      <w:szCs w:val="24"/>
    </w:rPr>
  </w:style>
  <w:style w:type="paragraph" w:styleId="Heading3">
    <w:name w:val="heading 3"/>
    <w:basedOn w:val="Normal"/>
    <w:next w:val="Normal"/>
    <w:link w:val="Heading3Char"/>
    <w:uiPriority w:val="99"/>
    <w:qFormat/>
    <w:rsid w:val="00855FAC"/>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AA3721"/>
    <w:rPr>
      <w:rFonts w:ascii="Cambria" w:hAnsi="Cambria" w:cs="Times New Roman"/>
      <w:b/>
      <w:bCs/>
      <w:sz w:val="26"/>
      <w:szCs w:val="26"/>
    </w:rPr>
  </w:style>
  <w:style w:type="paragraph" w:styleId="ListBullet">
    <w:name w:val="List Bullet"/>
    <w:basedOn w:val="Normal"/>
    <w:uiPriority w:val="99"/>
    <w:unhideWhenUsed/>
    <w:rsid w:val="00D54742"/>
    <w:pPr>
      <w:numPr>
        <w:numId w:val="5"/>
      </w:numPr>
      <w:contextualSpacing/>
    </w:pPr>
  </w:style>
  <w:style w:type="paragraph" w:styleId="BalloonText">
    <w:name w:val="Balloon Text"/>
    <w:basedOn w:val="Normal"/>
    <w:link w:val="BalloonTextChar"/>
    <w:uiPriority w:val="99"/>
    <w:semiHidden/>
    <w:unhideWhenUsed/>
    <w:rsid w:val="00F41688"/>
    <w:rPr>
      <w:rFonts w:ascii="Tahoma" w:hAnsi="Tahoma" w:cs="Tahoma"/>
      <w:sz w:val="16"/>
      <w:szCs w:val="16"/>
    </w:rPr>
  </w:style>
  <w:style w:type="character" w:customStyle="1" w:styleId="BalloonTextChar">
    <w:name w:val="Balloon Text Char"/>
    <w:basedOn w:val="DefaultParagraphFont"/>
    <w:link w:val="BalloonText"/>
    <w:uiPriority w:val="99"/>
    <w:semiHidden/>
    <w:rsid w:val="00F41688"/>
    <w:rPr>
      <w:rFonts w:ascii="Tahoma" w:hAnsi="Tahoma" w:cs="Tahoma"/>
      <w:sz w:val="16"/>
      <w:szCs w:val="16"/>
    </w:rPr>
  </w:style>
  <w:style w:type="paragraph" w:styleId="ListParagraph">
    <w:name w:val="List Paragraph"/>
    <w:basedOn w:val="Normal"/>
    <w:uiPriority w:val="34"/>
    <w:qFormat/>
    <w:rsid w:val="00C474D2"/>
    <w:pPr>
      <w:ind w:left="720"/>
      <w:contextualSpacing/>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Equality Impact Assessment- Screening</vt:lpstr>
    </vt:vector>
  </TitlesOfParts>
  <Company>Wyre Forest District Council</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Screening</dc:title>
  <dc:creator>RebeccaD</dc:creator>
  <cp:lastModifiedBy>Tina Wootton-Porter</cp:lastModifiedBy>
  <cp:revision>2</cp:revision>
  <dcterms:created xsi:type="dcterms:W3CDTF">2023-06-16T00:12:00Z</dcterms:created>
  <dcterms:modified xsi:type="dcterms:W3CDTF">2023-06-16T00:12:00Z</dcterms:modified>
</cp:coreProperties>
</file>